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556" w:rsidRDefault="00C338EE">
      <w:pPr>
        <w:spacing w:line="235" w:lineRule="exact"/>
        <w:rPr>
          <w:b/>
          <w:bCs/>
        </w:rPr>
      </w:pPr>
      <w:bookmarkStart w:id="0" w:name="designation"/>
      <w:bookmarkEnd w:id="0"/>
      <w:r>
        <w:rPr>
          <w:b/>
          <w:bCs/>
          <w:lang w:val="en-CA"/>
        </w:rPr>
        <w:t>PUBLIC MATTER - NOT DESIGNATED FOR PUBLICATION</w:t>
      </w:r>
      <w:r w:rsidR="00FD5AFA">
        <w:rPr>
          <w:b/>
          <w:bCs/>
          <w:lang w:val="en-CA"/>
        </w:rPr>
        <w:fldChar w:fldCharType="begin"/>
      </w:r>
      <w:r w:rsidR="00853556">
        <w:rPr>
          <w:b/>
          <w:bCs/>
          <w:lang w:val="en-CA"/>
        </w:rPr>
        <w:instrText xml:space="preserve"> SEQ CHAPTER \h \r 1</w:instrText>
      </w:r>
      <w:r w:rsidR="00FD5AFA">
        <w:rPr>
          <w:b/>
          <w:bCs/>
          <w:lang w:val="en-CA"/>
        </w:rPr>
        <w:fldChar w:fldCharType="end"/>
      </w:r>
    </w:p>
    <w:p w:rsidR="00853556" w:rsidRDefault="00853556">
      <w:pPr>
        <w:spacing w:line="235" w:lineRule="exact"/>
        <w:rPr>
          <w:b/>
          <w:bCs/>
        </w:rPr>
      </w:pPr>
    </w:p>
    <w:p w:rsidR="00853556" w:rsidRDefault="00853556">
      <w:pPr>
        <w:spacing w:line="235" w:lineRule="exact"/>
        <w:rPr>
          <w:b/>
          <w:bCs/>
        </w:rPr>
      </w:pPr>
    </w:p>
    <w:p w:rsidR="00853556" w:rsidRDefault="00853556">
      <w:pPr>
        <w:spacing w:line="235" w:lineRule="exact"/>
        <w:rPr>
          <w:b/>
          <w:bCs/>
        </w:rPr>
      </w:pPr>
    </w:p>
    <w:p w:rsidR="003D050B" w:rsidRDefault="004D4C31">
      <w:pPr>
        <w:spacing w:line="235" w:lineRule="exact"/>
        <w:rPr>
          <w:b/>
          <w:bCs/>
        </w:rPr>
      </w:pPr>
      <w:r>
        <w:rPr>
          <w:b/>
          <w:bCs/>
        </w:rPr>
        <w:t xml:space="preserve">                                                                       </w:t>
      </w:r>
      <w:r>
        <w:rPr>
          <w:b/>
          <w:bCs/>
        </w:rPr>
        <w:tab/>
      </w:r>
      <w:r>
        <w:rPr>
          <w:b/>
          <w:bCs/>
        </w:rPr>
        <w:tab/>
      </w:r>
      <w:r>
        <w:rPr>
          <w:b/>
          <w:bCs/>
        </w:rPr>
        <w:tab/>
        <w:t>FILED FEBRUARY 4, 2009</w:t>
      </w:r>
    </w:p>
    <w:p w:rsidR="00853556" w:rsidRDefault="00853556">
      <w:pPr>
        <w:spacing w:line="235" w:lineRule="exact"/>
        <w:rPr>
          <w:b/>
          <w:bCs/>
        </w:rPr>
      </w:pPr>
    </w:p>
    <w:p w:rsidR="00853556" w:rsidRDefault="00853556">
      <w:pPr>
        <w:spacing w:line="235" w:lineRule="exact"/>
        <w:rPr>
          <w:b/>
          <w:bCs/>
        </w:rPr>
      </w:pPr>
    </w:p>
    <w:p w:rsidR="00B022CF" w:rsidRDefault="00B022CF">
      <w:pPr>
        <w:spacing w:line="235" w:lineRule="exact"/>
        <w:rPr>
          <w:b/>
          <w:bCs/>
        </w:rPr>
      </w:pPr>
    </w:p>
    <w:p w:rsidR="00853556" w:rsidRDefault="00853556">
      <w:pPr>
        <w:spacing w:line="235" w:lineRule="exact"/>
        <w:rPr>
          <w:b/>
          <w:bCs/>
        </w:rPr>
      </w:pPr>
    </w:p>
    <w:p w:rsidR="00853556" w:rsidRDefault="00853556">
      <w:pPr>
        <w:spacing w:line="235" w:lineRule="exact"/>
        <w:jc w:val="center"/>
        <w:rPr>
          <w:b/>
          <w:bCs/>
        </w:rPr>
      </w:pPr>
      <w:r>
        <w:rPr>
          <w:b/>
          <w:bCs/>
        </w:rPr>
        <w:t>REVIEW DEPARTMENT OF THE STATE BAR COURT</w:t>
      </w:r>
    </w:p>
    <w:p w:rsidR="00853556" w:rsidRDefault="00853556">
      <w:pPr>
        <w:spacing w:line="235" w:lineRule="exact"/>
      </w:pPr>
    </w:p>
    <w:p w:rsidR="00853556" w:rsidRDefault="00853556">
      <w:pPr>
        <w:spacing w:line="62" w:lineRule="exact"/>
      </w:pPr>
    </w:p>
    <w:p w:rsidR="00853556" w:rsidRDefault="00853556">
      <w:pPr>
        <w:spacing w:line="235" w:lineRule="exact"/>
      </w:pPr>
    </w:p>
    <w:tbl>
      <w:tblPr>
        <w:tblW w:w="9360" w:type="dxa"/>
        <w:tblInd w:w="8" w:type="dxa"/>
        <w:tblLayout w:type="fixed"/>
        <w:tblCellMar>
          <w:left w:w="0" w:type="dxa"/>
          <w:right w:w="0" w:type="dxa"/>
        </w:tblCellMar>
        <w:tblLook w:val="0000"/>
      </w:tblPr>
      <w:tblGrid>
        <w:gridCol w:w="4320"/>
        <w:gridCol w:w="1252"/>
        <w:gridCol w:w="3788"/>
      </w:tblGrid>
      <w:tr w:rsidR="00853556" w:rsidRPr="006645A0" w:rsidTr="001F17E4">
        <w:trPr>
          <w:cantSplit/>
          <w:trHeight w:val="535"/>
        </w:trPr>
        <w:tc>
          <w:tcPr>
            <w:tcW w:w="4320" w:type="dxa"/>
            <w:vMerge w:val="restart"/>
            <w:tcBorders>
              <w:bottom w:val="single" w:sz="6" w:space="0" w:color="000000"/>
            </w:tcBorders>
          </w:tcPr>
          <w:p w:rsidR="00853556" w:rsidRDefault="00853556">
            <w:pPr>
              <w:spacing w:before="30" w:line="235" w:lineRule="exact"/>
            </w:pPr>
            <w:r>
              <w:t>In the Matter of</w:t>
            </w:r>
          </w:p>
          <w:p w:rsidR="00853556" w:rsidRDefault="00853556">
            <w:pPr>
              <w:spacing w:line="235" w:lineRule="exact"/>
            </w:pPr>
          </w:p>
          <w:p w:rsidR="00853556" w:rsidRPr="006645A0" w:rsidRDefault="00C338EE">
            <w:pPr>
              <w:spacing w:line="235" w:lineRule="exact"/>
              <w:rPr>
                <w:b/>
              </w:rPr>
            </w:pPr>
            <w:bookmarkStart w:id="1" w:name="respondent"/>
            <w:bookmarkEnd w:id="1"/>
            <w:r>
              <w:rPr>
                <w:b/>
              </w:rPr>
              <w:t>THEODORE CARL LUEBKEMAN</w:t>
            </w:r>
          </w:p>
          <w:p w:rsidR="00853556" w:rsidRDefault="00853556">
            <w:pPr>
              <w:spacing w:line="235" w:lineRule="exact"/>
            </w:pPr>
          </w:p>
          <w:p w:rsidR="00853556" w:rsidRDefault="00C338EE">
            <w:pPr>
              <w:spacing w:line="235" w:lineRule="exact"/>
            </w:pPr>
            <w:bookmarkStart w:id="2" w:name="type"/>
            <w:bookmarkEnd w:id="2"/>
            <w:r>
              <w:t>A Member of the State Bar.</w:t>
            </w:r>
          </w:p>
        </w:tc>
        <w:tc>
          <w:tcPr>
            <w:tcW w:w="1252" w:type="dxa"/>
            <w:vMerge w:val="restart"/>
          </w:tcPr>
          <w:p w:rsidR="00853556" w:rsidRDefault="00853556">
            <w:pPr>
              <w:spacing w:before="30" w:line="235" w:lineRule="exact"/>
            </w:pPr>
            <w:r>
              <w:t>)</w:t>
            </w:r>
          </w:p>
          <w:p w:rsidR="00853556" w:rsidRDefault="00853556">
            <w:pPr>
              <w:spacing w:line="235" w:lineRule="exact"/>
            </w:pPr>
            <w:r>
              <w:t>)</w:t>
            </w:r>
          </w:p>
          <w:p w:rsidR="00853556" w:rsidRDefault="00853556">
            <w:pPr>
              <w:spacing w:line="235" w:lineRule="exact"/>
            </w:pPr>
            <w:r>
              <w:t>)</w:t>
            </w:r>
          </w:p>
          <w:p w:rsidR="00853556" w:rsidRDefault="00853556">
            <w:pPr>
              <w:spacing w:line="235" w:lineRule="exact"/>
            </w:pPr>
            <w:r>
              <w:t>)</w:t>
            </w:r>
          </w:p>
          <w:p w:rsidR="00853556" w:rsidRDefault="00853556">
            <w:pPr>
              <w:spacing w:line="235" w:lineRule="exact"/>
            </w:pPr>
            <w:r>
              <w:t>)</w:t>
            </w:r>
          </w:p>
          <w:p w:rsidR="005D2EC8" w:rsidRDefault="005D2EC8">
            <w:pPr>
              <w:spacing w:line="235" w:lineRule="exact"/>
            </w:pPr>
            <w:r>
              <w:t>)</w:t>
            </w:r>
          </w:p>
        </w:tc>
        <w:tc>
          <w:tcPr>
            <w:tcW w:w="3788" w:type="dxa"/>
            <w:vMerge w:val="restart"/>
          </w:tcPr>
          <w:p w:rsidR="00853556" w:rsidRPr="006645A0" w:rsidRDefault="00C338EE">
            <w:pPr>
              <w:spacing w:before="30" w:line="235" w:lineRule="exact"/>
              <w:rPr>
                <w:b/>
              </w:rPr>
            </w:pPr>
            <w:bookmarkStart w:id="3" w:name="caseno"/>
            <w:bookmarkEnd w:id="3"/>
            <w:r>
              <w:rPr>
                <w:b/>
              </w:rPr>
              <w:t>05-O-04973</w:t>
            </w:r>
          </w:p>
        </w:tc>
      </w:tr>
      <w:tr w:rsidR="00853556" w:rsidTr="005D2EC8">
        <w:trPr>
          <w:cantSplit/>
          <w:trHeight w:val="270"/>
        </w:trPr>
        <w:tc>
          <w:tcPr>
            <w:tcW w:w="4320" w:type="dxa"/>
            <w:vMerge/>
            <w:tcBorders>
              <w:bottom w:val="single" w:sz="6" w:space="0" w:color="000000"/>
            </w:tcBorders>
          </w:tcPr>
          <w:p w:rsidR="00853556" w:rsidRDefault="00853556">
            <w:pPr>
              <w:spacing w:before="30" w:line="235" w:lineRule="exact"/>
            </w:pPr>
          </w:p>
        </w:tc>
        <w:tc>
          <w:tcPr>
            <w:tcW w:w="1252" w:type="dxa"/>
            <w:vMerge/>
          </w:tcPr>
          <w:p w:rsidR="00853556" w:rsidRDefault="00853556">
            <w:pPr>
              <w:spacing w:before="30" w:line="235" w:lineRule="exact"/>
            </w:pPr>
          </w:p>
        </w:tc>
        <w:tc>
          <w:tcPr>
            <w:tcW w:w="3788" w:type="dxa"/>
            <w:vMerge/>
          </w:tcPr>
          <w:p w:rsidR="00853556" w:rsidRDefault="00853556">
            <w:pPr>
              <w:spacing w:before="30" w:line="235" w:lineRule="exact"/>
            </w:pPr>
          </w:p>
        </w:tc>
      </w:tr>
      <w:tr w:rsidR="00853556" w:rsidTr="005D2EC8">
        <w:trPr>
          <w:cantSplit/>
          <w:trHeight w:val="615"/>
        </w:trPr>
        <w:tc>
          <w:tcPr>
            <w:tcW w:w="4320" w:type="dxa"/>
            <w:vMerge/>
            <w:tcBorders>
              <w:bottom w:val="single" w:sz="6" w:space="0" w:color="000000"/>
            </w:tcBorders>
          </w:tcPr>
          <w:p w:rsidR="00853556" w:rsidRDefault="00853556">
            <w:pPr>
              <w:spacing w:before="30" w:line="235" w:lineRule="exact"/>
            </w:pPr>
          </w:p>
        </w:tc>
        <w:tc>
          <w:tcPr>
            <w:tcW w:w="1252" w:type="dxa"/>
            <w:vMerge/>
          </w:tcPr>
          <w:p w:rsidR="00853556" w:rsidRDefault="00853556">
            <w:pPr>
              <w:spacing w:before="30" w:line="235" w:lineRule="exact"/>
            </w:pPr>
          </w:p>
        </w:tc>
        <w:tc>
          <w:tcPr>
            <w:tcW w:w="3788" w:type="dxa"/>
          </w:tcPr>
          <w:p w:rsidR="00853556" w:rsidRDefault="00853556">
            <w:pPr>
              <w:pStyle w:val="Heading1"/>
            </w:pPr>
            <w:r>
              <w:t>OPINION ON REVIEW</w:t>
            </w:r>
          </w:p>
          <w:p w:rsidR="00C875C5" w:rsidRPr="00C875C5" w:rsidRDefault="00C875C5" w:rsidP="00D65148">
            <w:pPr>
              <w:rPr>
                <w:b/>
              </w:rPr>
            </w:pPr>
          </w:p>
        </w:tc>
      </w:tr>
    </w:tbl>
    <w:p w:rsidR="00B022CF" w:rsidRDefault="00B022CF" w:rsidP="005D2EC8"/>
    <w:p w:rsidR="005D2EC8" w:rsidRDefault="002D2329" w:rsidP="005D2EC8">
      <w:r>
        <w:tab/>
      </w:r>
    </w:p>
    <w:p w:rsidR="00540770" w:rsidRDefault="002D2329" w:rsidP="005D2EC8">
      <w:pPr>
        <w:spacing w:line="480" w:lineRule="auto"/>
        <w:ind w:firstLine="720"/>
      </w:pPr>
      <w:r>
        <w:t>The State Bar requests ou</w:t>
      </w:r>
      <w:r w:rsidR="00AB53BB">
        <w:t xml:space="preserve">r review of the hearing judge’s decision </w:t>
      </w:r>
      <w:r>
        <w:t>recommending that respondent</w:t>
      </w:r>
      <w:r w:rsidR="00FB7672">
        <w:t xml:space="preserve"> </w:t>
      </w:r>
      <w:r w:rsidR="00AB53BB">
        <w:t xml:space="preserve">receive a one-year stayed suspension on conditions of probation including a 60-day actual suspension </w:t>
      </w:r>
      <w:r w:rsidR="00FB7672">
        <w:t>for trust account violations, includ</w:t>
      </w:r>
      <w:r w:rsidR="00667FC7">
        <w:t>ing</w:t>
      </w:r>
      <w:r w:rsidR="00FB7672">
        <w:t xml:space="preserve"> misappropriation of $2,200</w:t>
      </w:r>
      <w:r w:rsidR="001B3B0C">
        <w:t xml:space="preserve"> of client funds</w:t>
      </w:r>
      <w:r w:rsidR="00CF406C">
        <w:t xml:space="preserve">.  </w:t>
      </w:r>
      <w:r w:rsidR="00540770">
        <w:t>The State Bar contends that the appropriate level of discipline for respondent’s misconduct is the one-year actual suspension</w:t>
      </w:r>
      <w:r w:rsidR="00CF406C">
        <w:t xml:space="preserve"> pursuant to standard 2.2(a) of the </w:t>
      </w:r>
      <w:r w:rsidR="00540770">
        <w:t>Standards for Attorney Sanctions for Professional Misconduct.</w:t>
      </w:r>
      <w:r w:rsidR="00540770">
        <w:rPr>
          <w:rStyle w:val="FootnoteReference"/>
        </w:rPr>
        <w:footnoteReference w:id="2"/>
      </w:r>
      <w:r w:rsidR="00540770">
        <w:t xml:space="preserve">  </w:t>
      </w:r>
    </w:p>
    <w:p w:rsidR="00587116" w:rsidRDefault="00706972" w:rsidP="00956178">
      <w:pPr>
        <w:spacing w:line="480" w:lineRule="auto"/>
      </w:pPr>
      <w:r>
        <w:tab/>
        <w:t>We review the record de novo (</w:t>
      </w:r>
      <w:r>
        <w:rPr>
          <w:i/>
          <w:iCs/>
        </w:rPr>
        <w:t>In re Morse</w:t>
      </w:r>
      <w:r>
        <w:t xml:space="preserve"> (1995) 11 Cal.4th 184, 207), </w:t>
      </w:r>
      <w:r w:rsidR="00DA47C5">
        <w:t xml:space="preserve">and we adopt </w:t>
      </w:r>
      <w:r w:rsidR="00CF406C">
        <w:t xml:space="preserve">most of </w:t>
      </w:r>
      <w:r w:rsidR="00DA47C5">
        <w:t>the hearing judge’s factual findings and culpability conclusions</w:t>
      </w:r>
      <w:r w:rsidR="001B3B0C">
        <w:t>, but find fewer factors in mitigation</w:t>
      </w:r>
      <w:r w:rsidR="00DA47C5">
        <w:t xml:space="preserve">.  </w:t>
      </w:r>
      <w:r w:rsidR="001B3B0C">
        <w:t>B</w:t>
      </w:r>
      <w:r w:rsidR="00540770">
        <w:t>ased upon all relevant circumstances, as well as the standards and guiding case law, we conclude that the hearing judge’s discipline recommendation is</w:t>
      </w:r>
      <w:r w:rsidR="00540770">
        <w:rPr>
          <w:b/>
          <w:bCs/>
        </w:rPr>
        <w:t xml:space="preserve"> </w:t>
      </w:r>
      <w:r w:rsidR="00540770" w:rsidRPr="00540770">
        <w:t>in</w:t>
      </w:r>
      <w:r w:rsidR="00540770">
        <w:t>sufficient to protect the public</w:t>
      </w:r>
      <w:r>
        <w:t xml:space="preserve">, </w:t>
      </w:r>
      <w:r w:rsidR="00AB53BB">
        <w:t>the courts and the profession</w:t>
      </w:r>
      <w:r w:rsidR="00667FC7">
        <w:t>, and to preserve public confidence in the legal profession</w:t>
      </w:r>
      <w:r w:rsidR="00AB53BB">
        <w:t>.  Thus, we recommend that respondent be suspended from the practice of law for two years, that th</w:t>
      </w:r>
      <w:r w:rsidR="00667FC7">
        <w:t>e</w:t>
      </w:r>
      <w:r w:rsidR="00AB53BB">
        <w:t xml:space="preserve"> suspension be stayed and that respondent be placed on probation for </w:t>
      </w:r>
      <w:r w:rsidR="00320ACF">
        <w:t>two</w:t>
      </w:r>
      <w:r w:rsidR="00AA297D">
        <w:t xml:space="preserve"> years o</w:t>
      </w:r>
      <w:r w:rsidR="007E73FF">
        <w:t>n conditions including a six-month period of</w:t>
      </w:r>
      <w:r w:rsidR="001F17E4">
        <w:t xml:space="preserve"> </w:t>
      </w:r>
      <w:r w:rsidR="00AA297D">
        <w:t>actual suspension.</w:t>
      </w:r>
    </w:p>
    <w:p w:rsidR="00DB5D7A" w:rsidRPr="00DB5D7A" w:rsidRDefault="00DB5D7A" w:rsidP="00DB5D7A">
      <w:pPr>
        <w:spacing w:line="480" w:lineRule="auto"/>
        <w:jc w:val="center"/>
        <w:rPr>
          <w:b/>
        </w:rPr>
      </w:pPr>
      <w:r w:rsidRPr="00DB5D7A">
        <w:rPr>
          <w:b/>
        </w:rPr>
        <w:lastRenderedPageBreak/>
        <w:t xml:space="preserve">I.  </w:t>
      </w:r>
      <w:r w:rsidR="00CF406C">
        <w:rPr>
          <w:b/>
        </w:rPr>
        <w:t>PROCEDURAL HISTORY</w:t>
      </w:r>
    </w:p>
    <w:p w:rsidR="0046264B" w:rsidRDefault="00587116" w:rsidP="00587116">
      <w:pPr>
        <w:spacing w:line="480" w:lineRule="auto"/>
      </w:pPr>
      <w:r>
        <w:tab/>
        <w:t xml:space="preserve">On June 5, 2006, the State Bar filed </w:t>
      </w:r>
      <w:r w:rsidR="001F17E4">
        <w:t>a</w:t>
      </w:r>
      <w:r>
        <w:t xml:space="preserve"> Notice of Disciplinary </w:t>
      </w:r>
      <w:r w:rsidR="00326DCC">
        <w:t>Charges</w:t>
      </w:r>
      <w:r w:rsidR="0092130C">
        <w:t xml:space="preserve"> charging respondent with three counts of misconduct.  Respondent filed an amended response on </w:t>
      </w:r>
      <w:r w:rsidR="00321C49">
        <w:t>August 25, 2006.  On December 2</w:t>
      </w:r>
      <w:r w:rsidR="00EC29BF">
        <w:t>1</w:t>
      </w:r>
      <w:r w:rsidR="00321C49">
        <w:t xml:space="preserve">, 2006, respondent and the State Bar filed a stipulation as </w:t>
      </w:r>
      <w:r w:rsidR="006C7ACB">
        <w:t>to facts and conclu</w:t>
      </w:r>
      <w:r w:rsidR="00EE2533">
        <w:t xml:space="preserve">sions of law.  Respondent stipulated to violating the following:  1) rule 4-100(A) </w:t>
      </w:r>
      <w:r w:rsidR="00CF406C">
        <w:t>of the Rules of Professional Conduct</w:t>
      </w:r>
      <w:r w:rsidR="00CF406C">
        <w:rPr>
          <w:rStyle w:val="FootnoteReference"/>
        </w:rPr>
        <w:footnoteReference w:id="3"/>
      </w:r>
      <w:r w:rsidR="00CF406C">
        <w:t xml:space="preserve"> </w:t>
      </w:r>
      <w:r w:rsidR="00EE2533">
        <w:t xml:space="preserve">for failing to maintain client funds in </w:t>
      </w:r>
      <w:r w:rsidR="001F17E4">
        <w:t xml:space="preserve">a </w:t>
      </w:r>
      <w:r w:rsidR="00EE2533">
        <w:t>trust account; 2</w:t>
      </w:r>
      <w:r w:rsidR="00BA7988">
        <w:t>) Business and Professions Code</w:t>
      </w:r>
      <w:r w:rsidR="00BA7988">
        <w:rPr>
          <w:rStyle w:val="FootnoteReference"/>
        </w:rPr>
        <w:footnoteReference w:id="4"/>
      </w:r>
      <w:r w:rsidR="00BA7988">
        <w:t xml:space="preserve"> </w:t>
      </w:r>
      <w:r w:rsidR="00EE2533">
        <w:t>section 6106 for misappropriating at least $2,200; and 3) rule 4-100(A) for commingling his personal funds with client funds.  The stipulation also</w:t>
      </w:r>
      <w:r w:rsidR="001F17E4">
        <w:t xml:space="preserve"> contain</w:t>
      </w:r>
      <w:r w:rsidR="00667FC7">
        <w:t>s</w:t>
      </w:r>
      <w:r w:rsidR="00EE2533">
        <w:t xml:space="preserve"> </w:t>
      </w:r>
      <w:r w:rsidR="00667FC7">
        <w:t xml:space="preserve">circumstances in </w:t>
      </w:r>
      <w:r w:rsidR="006C7ACB">
        <w:t>mitigation and aggravation.</w:t>
      </w:r>
      <w:r w:rsidR="00FA5658">
        <w:t xml:space="preserve">  The mitigating circumstances included respondent’s candor and cooperation</w:t>
      </w:r>
      <w:r w:rsidR="00667FC7">
        <w:t xml:space="preserve"> in entering into a stipulation</w:t>
      </w:r>
      <w:r w:rsidR="007E73FF">
        <w:t>,</w:t>
      </w:r>
      <w:r w:rsidR="00FA5658">
        <w:t xml:space="preserve"> his 24 years of practice with no prior discipline</w:t>
      </w:r>
      <w:r w:rsidR="007E73FF">
        <w:t xml:space="preserve">, and an acknowledgment that respondent’s client received </w:t>
      </w:r>
      <w:r w:rsidR="00FC26B5">
        <w:t xml:space="preserve">the disbursement from the client trust account </w:t>
      </w:r>
      <w:r w:rsidR="00667FC7">
        <w:t xml:space="preserve">because the bank honored the </w:t>
      </w:r>
      <w:r w:rsidR="00A24342">
        <w:t>insufficiently funded (</w:t>
      </w:r>
      <w:r w:rsidR="00667FC7">
        <w:t>NSF</w:t>
      </w:r>
      <w:r w:rsidR="00A24342">
        <w:t>)</w:t>
      </w:r>
      <w:r w:rsidR="00667FC7">
        <w:t xml:space="preserve"> check issued by respondent.  </w:t>
      </w:r>
      <w:r w:rsidR="00591AA1">
        <w:t>The aggravating circumstances included multiple acts of misconduct</w:t>
      </w:r>
      <w:r w:rsidR="007E73FF">
        <w:t xml:space="preserve"> and an uncharged violation of rule 4-100(B)(3)</w:t>
      </w:r>
      <w:r w:rsidR="00591AA1">
        <w:t>.</w:t>
      </w:r>
    </w:p>
    <w:p w:rsidR="005D2EC8" w:rsidRDefault="0046264B" w:rsidP="00587116">
      <w:pPr>
        <w:spacing w:line="480" w:lineRule="auto"/>
      </w:pPr>
      <w:r>
        <w:tab/>
        <w:t>Since the parties stipulated to the findings of fact</w:t>
      </w:r>
      <w:r w:rsidR="009E6A20">
        <w:t xml:space="preserve"> and conclusions of law</w:t>
      </w:r>
      <w:r>
        <w:t>,</w:t>
      </w:r>
      <w:r w:rsidR="00CF406C">
        <w:t xml:space="preserve"> including issues of mitigation and aggravation,</w:t>
      </w:r>
      <w:r>
        <w:t xml:space="preserve"> the hearing judge </w:t>
      </w:r>
      <w:r w:rsidR="00D12CC6">
        <w:t>se</w:t>
      </w:r>
      <w:r w:rsidR="00AE2A34">
        <w:t xml:space="preserve">t a briefing schedule on the appropriate </w:t>
      </w:r>
      <w:r w:rsidR="005D305C">
        <w:t xml:space="preserve">level of discipline.  </w:t>
      </w:r>
      <w:r w:rsidR="00AD13EA">
        <w:t xml:space="preserve">When respondent filed his </w:t>
      </w:r>
      <w:r w:rsidR="003D3713">
        <w:t xml:space="preserve">February 20, 2007 </w:t>
      </w:r>
      <w:r w:rsidR="00D12CC6">
        <w:t>brief</w:t>
      </w:r>
      <w:r w:rsidR="001F17E4">
        <w:t>,</w:t>
      </w:r>
      <w:r w:rsidR="00AD13EA">
        <w:t xml:space="preserve"> </w:t>
      </w:r>
      <w:r w:rsidR="003D050B">
        <w:t xml:space="preserve">he included </w:t>
      </w:r>
      <w:r w:rsidR="003D3713">
        <w:t>information about mitigation that was not included in the parties’</w:t>
      </w:r>
      <w:r w:rsidR="005D305C">
        <w:t xml:space="preserve"> stipulation.  </w:t>
      </w:r>
      <w:r w:rsidR="00517D28">
        <w:t xml:space="preserve">On </w:t>
      </w:r>
      <w:r w:rsidR="00DD1F98">
        <w:t>February 2</w:t>
      </w:r>
      <w:r w:rsidR="00CA2A0D">
        <w:t>6, 2007, the State Bar filed a motion to strike respondent’</w:t>
      </w:r>
      <w:r w:rsidR="005D305C">
        <w:t xml:space="preserve">s brief regarding discipline because </w:t>
      </w:r>
      <w:r w:rsidR="001F17E4">
        <w:t xml:space="preserve">it incorporated </w:t>
      </w:r>
      <w:r w:rsidR="0094709D">
        <w:t>information about his financial difficulties,</w:t>
      </w:r>
      <w:r w:rsidR="001F17E4">
        <w:t xml:space="preserve"> his</w:t>
      </w:r>
      <w:r w:rsidR="0094709D">
        <w:t xml:space="preserve"> medical diagnosis of attention deficit disorder</w:t>
      </w:r>
      <w:r w:rsidR="00F04EF3">
        <w:t xml:space="preserve"> (ADD)</w:t>
      </w:r>
      <w:r w:rsidR="00AE2A34">
        <w:t>, and his wife’s</w:t>
      </w:r>
      <w:r w:rsidR="0094709D">
        <w:t xml:space="preserve"> health problems</w:t>
      </w:r>
      <w:r w:rsidR="001F17E4">
        <w:t xml:space="preserve">, none of which was mentioned in </w:t>
      </w:r>
      <w:r w:rsidR="0094709D">
        <w:t xml:space="preserve">the parties’ stipulation. </w:t>
      </w:r>
      <w:r w:rsidR="005D2EC8">
        <w:t xml:space="preserve"> </w:t>
      </w:r>
    </w:p>
    <w:p w:rsidR="00F04EF3" w:rsidRDefault="0094709D" w:rsidP="00587116">
      <w:pPr>
        <w:spacing w:line="480" w:lineRule="auto"/>
      </w:pPr>
      <w:r>
        <w:lastRenderedPageBreak/>
        <w:t xml:space="preserve">In addition, the State Bar </w:t>
      </w:r>
      <w:r w:rsidR="001F17E4">
        <w:t>offered</w:t>
      </w:r>
      <w:r>
        <w:t xml:space="preserve"> a number of evidentiary objections to respondent’s brief.</w:t>
      </w:r>
      <w:r w:rsidR="008D0587">
        <w:t xml:space="preserve">  </w:t>
      </w:r>
      <w:r w:rsidR="008D0587" w:rsidRPr="00DD1F98">
        <w:t xml:space="preserve">During </w:t>
      </w:r>
      <w:r w:rsidR="00667FC7">
        <w:t xml:space="preserve">a </w:t>
      </w:r>
      <w:r w:rsidR="008D0587" w:rsidRPr="00DD1F98">
        <w:t>status conference, the hearing judge denied the State Bar’s motion to strike respondent’s brief on discipline.</w:t>
      </w:r>
      <w:r w:rsidR="00DD1F98" w:rsidRPr="00DD1F98">
        <w:t xml:space="preserve">  </w:t>
      </w:r>
      <w:r w:rsidR="00CF406C">
        <w:t>Instead, t</w:t>
      </w:r>
      <w:r w:rsidR="008D0587">
        <w:t xml:space="preserve">he hearing judge </w:t>
      </w:r>
      <w:r w:rsidR="0007730A">
        <w:t xml:space="preserve">afforded respondent an additional three weeks to provide </w:t>
      </w:r>
      <w:r w:rsidR="00CF406C">
        <w:t>documentary</w:t>
      </w:r>
      <w:r w:rsidR="00DD1F98">
        <w:t xml:space="preserve"> evidence </w:t>
      </w:r>
      <w:r w:rsidR="00CF406C">
        <w:t>to support his claims of mitigation</w:t>
      </w:r>
      <w:r w:rsidR="003D050B">
        <w:t>.</w:t>
      </w:r>
      <w:r w:rsidR="00F04EF3">
        <w:t xml:space="preserve"> </w:t>
      </w:r>
    </w:p>
    <w:p w:rsidR="0045267F" w:rsidRDefault="00FC26B5" w:rsidP="00587116">
      <w:pPr>
        <w:spacing w:line="480" w:lineRule="auto"/>
      </w:pPr>
      <w:r>
        <w:tab/>
        <w:t xml:space="preserve">Thereafter, </w:t>
      </w:r>
      <w:r w:rsidR="007576E1">
        <w:t xml:space="preserve">numerous status conferences were held and continued, providing respondent with repeated opportunities to produce evidence </w:t>
      </w:r>
      <w:r>
        <w:t>in support of his mitigation claims.  The State Bar objected at every instance.</w:t>
      </w:r>
      <w:r w:rsidR="007576E1">
        <w:t xml:space="preserve">  </w:t>
      </w:r>
      <w:r w:rsidR="00FD06FD">
        <w:t>An</w:t>
      </w:r>
      <w:r w:rsidR="00AB44AD">
        <w:t xml:space="preserve"> </w:t>
      </w:r>
      <w:r w:rsidR="00054F23">
        <w:t xml:space="preserve">evidentiary </w:t>
      </w:r>
      <w:r w:rsidR="00AB44AD">
        <w:t>hearing</w:t>
      </w:r>
      <w:r w:rsidR="00204647">
        <w:t xml:space="preserve"> </w:t>
      </w:r>
      <w:r w:rsidR="00FD06FD">
        <w:t xml:space="preserve">on mitigation issues was </w:t>
      </w:r>
      <w:r w:rsidR="001B3B0C">
        <w:t xml:space="preserve">ultimately </w:t>
      </w:r>
      <w:r w:rsidR="00204647">
        <w:t xml:space="preserve">held on October 3, 2007 – over nine months after the parties submitted their stipulation as to facts and conclusions of law.  At the hearing, the </w:t>
      </w:r>
      <w:r w:rsidR="00AB44AD">
        <w:t xml:space="preserve">judge </w:t>
      </w:r>
      <w:r w:rsidR="0099466C">
        <w:t xml:space="preserve">accepted respondent’s psychiatrist’s </w:t>
      </w:r>
      <w:r w:rsidR="00FD06FD">
        <w:t>letter</w:t>
      </w:r>
      <w:r w:rsidR="0099466C">
        <w:t xml:space="preserve"> over the State Bar’s objection.  The hearing judge also</w:t>
      </w:r>
      <w:r w:rsidR="00054F23">
        <w:t xml:space="preserve"> stated that she was going to “modify” </w:t>
      </w:r>
      <w:r w:rsidR="00904002">
        <w:t xml:space="preserve">the </w:t>
      </w:r>
      <w:r w:rsidR="0099466C">
        <w:t>parties’ stipulation to</w:t>
      </w:r>
      <w:r w:rsidR="00ED4661">
        <w:t xml:space="preserve"> incl</w:t>
      </w:r>
      <w:r w:rsidR="00FD06FD">
        <w:t xml:space="preserve">ude the following mitigation:  respondent’s </w:t>
      </w:r>
      <w:r w:rsidR="00ED4661">
        <w:t>severe financial distress</w:t>
      </w:r>
      <w:r w:rsidR="00FD06FD">
        <w:t xml:space="preserve">; his wife’s serious physical ailments and surgeries; and his depression and ADD.  </w:t>
      </w:r>
      <w:r w:rsidR="00054F23">
        <w:t>Despite the State Bar’s objections, t</w:t>
      </w:r>
      <w:r w:rsidR="00ED4661">
        <w:t xml:space="preserve">he hearing judge </w:t>
      </w:r>
      <w:r w:rsidR="00204647">
        <w:t>stated</w:t>
      </w:r>
      <w:r w:rsidR="00ED4661">
        <w:t xml:space="preserve"> that justice required she consider all of the mitigating circumstances in the case even though respondent was not </w:t>
      </w:r>
      <w:r w:rsidR="00054F23">
        <w:t>“</w:t>
      </w:r>
      <w:r w:rsidR="00ED4661">
        <w:t>timely</w:t>
      </w:r>
      <w:r w:rsidR="00054F23">
        <w:t>”</w:t>
      </w:r>
      <w:r w:rsidR="00ED4661">
        <w:t xml:space="preserve"> with the</w:t>
      </w:r>
      <w:r w:rsidR="00904002">
        <w:t xml:space="preserve"> additional mitigati</w:t>
      </w:r>
      <w:r w:rsidR="00204647">
        <w:t xml:space="preserve">ng evidence.  </w:t>
      </w:r>
      <w:r w:rsidR="007576E1">
        <w:t xml:space="preserve">Neither party </w:t>
      </w:r>
      <w:r w:rsidR="00ED4661">
        <w:t>produce</w:t>
      </w:r>
      <w:r w:rsidR="007576E1">
        <w:t>d</w:t>
      </w:r>
      <w:r w:rsidR="00ED4661">
        <w:t xml:space="preserve"> any witnesses</w:t>
      </w:r>
      <w:r w:rsidR="00FD06FD">
        <w:t xml:space="preserve">. </w:t>
      </w:r>
    </w:p>
    <w:p w:rsidR="006B3E6D" w:rsidRDefault="0045267F" w:rsidP="00587116">
      <w:pPr>
        <w:spacing w:line="480" w:lineRule="auto"/>
      </w:pPr>
      <w:r>
        <w:tab/>
      </w:r>
      <w:r w:rsidR="00474C6E">
        <w:t xml:space="preserve">On </w:t>
      </w:r>
      <w:r w:rsidR="00147417">
        <w:t xml:space="preserve">January 14, 2008, the hearing judge </w:t>
      </w:r>
      <w:r w:rsidR="0084459C">
        <w:t>filed her decision</w:t>
      </w:r>
      <w:r w:rsidR="00FD06FD">
        <w:t xml:space="preserve"> finding resp</w:t>
      </w:r>
      <w:r w:rsidR="00023129">
        <w:t xml:space="preserve">ondent culpable of all of the misconduct </w:t>
      </w:r>
      <w:r w:rsidR="00FD06FD">
        <w:t xml:space="preserve">to which </w:t>
      </w:r>
      <w:r w:rsidR="00023129">
        <w:t>he</w:t>
      </w:r>
      <w:r w:rsidR="00FD06FD">
        <w:t xml:space="preserve"> had</w:t>
      </w:r>
      <w:r w:rsidR="00023129">
        <w:t xml:space="preserve"> stipulated</w:t>
      </w:r>
      <w:r w:rsidR="00FD06FD">
        <w:t>.  I</w:t>
      </w:r>
      <w:r w:rsidR="0084459C">
        <w:t>n addition to the stipulated mitigating circumstances</w:t>
      </w:r>
      <w:r w:rsidR="00904002">
        <w:t>,</w:t>
      </w:r>
      <w:r w:rsidR="0084459C">
        <w:t xml:space="preserve"> </w:t>
      </w:r>
      <w:r w:rsidR="00954D6B">
        <w:t>the</w:t>
      </w:r>
      <w:r w:rsidR="0084459C">
        <w:t xml:space="preserve"> hearing judge found that respondent suffered from extreme emotional and financial difficulties</w:t>
      </w:r>
      <w:r w:rsidR="00904002">
        <w:t xml:space="preserve"> due to his wife’s surgeries and their resulting bankruptcy at the time</w:t>
      </w:r>
      <w:r w:rsidR="0084459C">
        <w:t xml:space="preserve"> he engaged in his misconduct.  The hearing judge also found respondent was extreme</w:t>
      </w:r>
      <w:r w:rsidR="007A4FD7">
        <w:t>ly remorseful for his conduct.</w:t>
      </w:r>
      <w:r w:rsidR="00054F23">
        <w:t xml:space="preserve">  However, the judge reversed her earlier ruling and de</w:t>
      </w:r>
      <w:r w:rsidR="003D050B">
        <w:t>nied</w:t>
      </w:r>
      <w:r w:rsidR="00054F23">
        <w:t xml:space="preserve"> admission of the letter from respondent’s doctor as inadmissible hearsay.</w:t>
      </w:r>
      <w:r w:rsidR="007A4FD7">
        <w:t xml:space="preserve">  </w:t>
      </w:r>
      <w:r w:rsidR="0084459C">
        <w:t xml:space="preserve">Additional aggravation included </w:t>
      </w:r>
      <w:r w:rsidR="00954D6B">
        <w:t>uncharged misconduct of failing to maintain</w:t>
      </w:r>
      <w:r w:rsidR="00F51C53">
        <w:t xml:space="preserve"> client trust account </w:t>
      </w:r>
      <w:r w:rsidR="00954D6B">
        <w:t>records or individual client ledgers</w:t>
      </w:r>
      <w:r w:rsidR="003D050B">
        <w:t xml:space="preserve"> </w:t>
      </w:r>
      <w:r w:rsidR="0084459C">
        <w:t xml:space="preserve">in </w:t>
      </w:r>
      <w:r w:rsidR="0084459C">
        <w:lastRenderedPageBreak/>
        <w:t xml:space="preserve">violation of </w:t>
      </w:r>
      <w:r w:rsidR="007A4FD7">
        <w:t xml:space="preserve">rule 4-100(B)(3).  </w:t>
      </w:r>
      <w:r w:rsidR="00BC299C">
        <w:t xml:space="preserve">The hearing judge recommended </w:t>
      </w:r>
      <w:r w:rsidR="000A2A53">
        <w:t>a one-</w:t>
      </w:r>
      <w:r w:rsidR="00C9583E">
        <w:t>year stayed suspension, two years</w:t>
      </w:r>
      <w:r w:rsidR="00904002">
        <w:t>’</w:t>
      </w:r>
      <w:r w:rsidR="00C9583E">
        <w:t xml:space="preserve"> probation and </w:t>
      </w:r>
      <w:r w:rsidR="00904002">
        <w:t xml:space="preserve">a </w:t>
      </w:r>
      <w:r w:rsidR="00C9583E">
        <w:t>60-day actual suspension.</w:t>
      </w:r>
    </w:p>
    <w:p w:rsidR="00054F23" w:rsidRPr="00054F23" w:rsidRDefault="00054F23" w:rsidP="00054F23">
      <w:pPr>
        <w:spacing w:line="480" w:lineRule="auto"/>
        <w:jc w:val="center"/>
        <w:rPr>
          <w:b/>
        </w:rPr>
      </w:pPr>
      <w:r w:rsidRPr="00054F23">
        <w:rPr>
          <w:b/>
        </w:rPr>
        <w:t>II.  PROCEDURE AND EVIDENTIARY ISSUES</w:t>
      </w:r>
    </w:p>
    <w:p w:rsidR="00EB4EE3" w:rsidRDefault="00AB44AD" w:rsidP="00587116">
      <w:pPr>
        <w:spacing w:line="480" w:lineRule="auto"/>
        <w:rPr>
          <w:color w:val="000000"/>
        </w:rPr>
      </w:pPr>
      <w:r>
        <w:rPr>
          <w:color w:val="000000"/>
        </w:rPr>
        <w:tab/>
      </w:r>
      <w:r w:rsidR="003D050B">
        <w:rPr>
          <w:color w:val="000000"/>
        </w:rPr>
        <w:t xml:space="preserve">In addition to the ultimate level of discipline, the primary issue on review is the admissibility of evidence in mitigation submitted in the hearing department.  </w:t>
      </w:r>
      <w:r w:rsidR="00D60235">
        <w:rPr>
          <w:color w:val="000000"/>
        </w:rPr>
        <w:t>In general, “the hearing judge has broad discretion in determining the admissibility and relevance of evidence,” but we apply independent de novo review if the proffered evidence is inadmissible as a matter of law.  (</w:t>
      </w:r>
      <w:r w:rsidR="00D60235">
        <w:rPr>
          <w:i/>
          <w:color w:val="000000"/>
        </w:rPr>
        <w:t>In the Matter of Boyne</w:t>
      </w:r>
      <w:r w:rsidR="00D60235">
        <w:rPr>
          <w:color w:val="000000"/>
        </w:rPr>
        <w:t xml:space="preserve"> (Review Dept. 1993) 2 Cal. State Bar Ct. Rptr. 389, 401.)</w:t>
      </w:r>
    </w:p>
    <w:p w:rsidR="00B022CF" w:rsidRDefault="00054F23" w:rsidP="00054F23">
      <w:pPr>
        <w:spacing w:line="480" w:lineRule="auto"/>
      </w:pPr>
      <w:r>
        <w:tab/>
      </w:r>
      <w:r w:rsidR="00204647">
        <w:t xml:space="preserve">We cannot overlook the </w:t>
      </w:r>
      <w:r>
        <w:t>unorthod</w:t>
      </w:r>
      <w:r w:rsidR="00FD06FD">
        <w:t>ox nature of this proceeding.  T</w:t>
      </w:r>
      <w:r>
        <w:t>his</w:t>
      </w:r>
      <w:r w:rsidR="00271CC0">
        <w:t xml:space="preserve"> matter was continued at least nine</w:t>
      </w:r>
      <w:r>
        <w:t xml:space="preserve"> times over </w:t>
      </w:r>
      <w:r w:rsidR="00271CC0">
        <w:t>ten</w:t>
      </w:r>
      <w:r>
        <w:t xml:space="preserve"> months due to respondent’s failure to provide the requested documentation to support his claims of mitigation.  Moreover, despite the State Bar’s objections, respondent was permitted to submit documents to the court via mail or facsimile, and outside the context of a formal evidentiary hearing where the documents could have been properly </w:t>
      </w:r>
      <w:r w:rsidR="003D050B">
        <w:t>marked for identification</w:t>
      </w:r>
      <w:r w:rsidR="007E73FF">
        <w:t xml:space="preserve">, </w:t>
      </w:r>
      <w:r w:rsidR="00204647">
        <w:t xml:space="preserve">offered into evidence, and </w:t>
      </w:r>
      <w:r w:rsidR="007E73FF">
        <w:t>subject to objection</w:t>
      </w:r>
      <w:r w:rsidR="00204647">
        <w:t xml:space="preserve"> on the record</w:t>
      </w:r>
      <w:r w:rsidR="003D050B">
        <w:t>.</w:t>
      </w:r>
      <w:r>
        <w:t xml:space="preserve">  </w:t>
      </w:r>
      <w:r w:rsidR="00204647">
        <w:t xml:space="preserve">Since no formal process was followed, </w:t>
      </w:r>
      <w:r>
        <w:t xml:space="preserve">this court was left to search the official court file in an attempt to locate the referenced documents.  While the hearing judge may have been lenient </w:t>
      </w:r>
      <w:r w:rsidR="00271CC0">
        <w:t>with</w:t>
      </w:r>
      <w:r>
        <w:t xml:space="preserve"> the rules </w:t>
      </w:r>
      <w:r w:rsidR="007E73FF">
        <w:t xml:space="preserve">of evidence </w:t>
      </w:r>
      <w:r w:rsidR="00204647">
        <w:t xml:space="preserve">due to </w:t>
      </w:r>
      <w:r w:rsidR="00271CC0">
        <w:t>respondent</w:t>
      </w:r>
      <w:r w:rsidR="00204647">
        <w:t xml:space="preserve">’s </w:t>
      </w:r>
      <w:r w:rsidR="00271CC0">
        <w:t>out</w:t>
      </w:r>
      <w:r w:rsidR="00204647">
        <w:t>-</w:t>
      </w:r>
      <w:r w:rsidR="00271CC0">
        <w:t>of</w:t>
      </w:r>
      <w:r w:rsidR="00204647">
        <w:t>-</w:t>
      </w:r>
      <w:r w:rsidR="00271CC0">
        <w:t>state</w:t>
      </w:r>
      <w:r w:rsidR="00204647">
        <w:t xml:space="preserve"> residence</w:t>
      </w:r>
      <w:r w:rsidR="00271CC0">
        <w:t xml:space="preserve">, </w:t>
      </w:r>
      <w:r>
        <w:t>this relaxed evidentiary approach fail</w:t>
      </w:r>
      <w:r w:rsidR="003D050B">
        <w:t>ed</w:t>
      </w:r>
      <w:r>
        <w:t xml:space="preserve"> to provide an adequate record on review.</w:t>
      </w:r>
      <w:r>
        <w:rPr>
          <w:rStyle w:val="FootnoteReference"/>
        </w:rPr>
        <w:footnoteReference w:id="5"/>
      </w:r>
      <w:r w:rsidR="00FD06FD">
        <w:t xml:space="preserve">  (Cf. </w:t>
      </w:r>
      <w:r w:rsidR="00FD06FD">
        <w:rPr>
          <w:i/>
        </w:rPr>
        <w:t>In re Mostman</w:t>
      </w:r>
      <w:r w:rsidR="00FD06FD">
        <w:t xml:space="preserve"> (1989) 47 Cal.3d 725, 741.)</w:t>
      </w:r>
      <w:r>
        <w:t xml:space="preserve"> </w:t>
      </w:r>
    </w:p>
    <w:p w:rsidR="00B022CF" w:rsidRDefault="00B022CF">
      <w:r>
        <w:br w:type="page"/>
      </w:r>
    </w:p>
    <w:p w:rsidR="008523C4" w:rsidRPr="008523C4" w:rsidRDefault="008523C4" w:rsidP="00587116">
      <w:pPr>
        <w:spacing w:line="480" w:lineRule="auto"/>
        <w:rPr>
          <w:b/>
        </w:rPr>
      </w:pPr>
      <w:r w:rsidRPr="008523C4">
        <w:rPr>
          <w:b/>
        </w:rPr>
        <w:lastRenderedPageBreak/>
        <w:t xml:space="preserve">A.  </w:t>
      </w:r>
      <w:r w:rsidR="00D65148">
        <w:rPr>
          <w:b/>
        </w:rPr>
        <w:t>Exclusion o</w:t>
      </w:r>
      <w:r w:rsidR="00241720" w:rsidRPr="008523C4">
        <w:rPr>
          <w:b/>
        </w:rPr>
        <w:t>f Psychiatrist’s Letter</w:t>
      </w:r>
    </w:p>
    <w:p w:rsidR="008523C4" w:rsidRDefault="00596D44" w:rsidP="00587116">
      <w:pPr>
        <w:spacing w:line="480" w:lineRule="auto"/>
      </w:pPr>
      <w:r>
        <w:tab/>
        <w:t xml:space="preserve">We agree with the hearing judge’s </w:t>
      </w:r>
      <w:r w:rsidR="00054F23">
        <w:t xml:space="preserve">ultimate </w:t>
      </w:r>
      <w:r>
        <w:t xml:space="preserve">decision to exclude the letter from respondent’s doctor as inadmissible hearsay since </w:t>
      </w:r>
      <w:r w:rsidR="00271CC0">
        <w:t>the</w:t>
      </w:r>
      <w:r>
        <w:t xml:space="preserve"> doctor did not testify as to the contents of the letter</w:t>
      </w:r>
      <w:r w:rsidR="003D050B">
        <w:t xml:space="preserve"> and was not subject to cross-examination by the State Bar</w:t>
      </w:r>
      <w:r>
        <w:t>.</w:t>
      </w:r>
      <w:r w:rsidR="0010695E">
        <w:t xml:space="preserve">  (See Evid. Code, §§ 711, 1200;</w:t>
      </w:r>
      <w:r w:rsidR="0010695E">
        <w:rPr>
          <w:rFonts w:ascii="Verdana" w:hAnsi="Verdana"/>
          <w:color w:val="000000"/>
          <w:sz w:val="19"/>
          <w:szCs w:val="19"/>
        </w:rPr>
        <w:t xml:space="preserve"> </w:t>
      </w:r>
      <w:r w:rsidR="0010695E" w:rsidRPr="0010695E">
        <w:rPr>
          <w:i/>
        </w:rPr>
        <w:t xml:space="preserve">In re Ford </w:t>
      </w:r>
      <w:r w:rsidR="0010695E" w:rsidRPr="00271CC0">
        <w:t>(1988) 44 Cal.3d 810, 818</w:t>
      </w:r>
      <w:r w:rsidR="0010695E">
        <w:rPr>
          <w:i/>
        </w:rPr>
        <w:t xml:space="preserve"> </w:t>
      </w:r>
      <w:r w:rsidR="0010695E">
        <w:t>[</w:t>
      </w:r>
      <w:r w:rsidR="0010695E" w:rsidRPr="0010695E">
        <w:t>character reference letters excludable from State Bar Court hearing as hearsay absent a stipulation to the contrary].)</w:t>
      </w:r>
      <w:r w:rsidR="003D050B">
        <w:t xml:space="preserve">  Likewise, we reject </w:t>
      </w:r>
      <w:r w:rsidR="00204647">
        <w:t xml:space="preserve">as unsupported by the record </w:t>
      </w:r>
      <w:r w:rsidR="003D050B">
        <w:t xml:space="preserve">respondent’s arguments in </w:t>
      </w:r>
      <w:r w:rsidR="001B3B0C">
        <w:t xml:space="preserve">mitigation in </w:t>
      </w:r>
      <w:r w:rsidR="003D050B">
        <w:t xml:space="preserve">his </w:t>
      </w:r>
      <w:r w:rsidR="00204647">
        <w:t xml:space="preserve">responsive </w:t>
      </w:r>
      <w:r w:rsidR="003D050B">
        <w:t>brief regarding his medical diagnosis</w:t>
      </w:r>
      <w:r w:rsidR="00204647">
        <w:t>.</w:t>
      </w:r>
    </w:p>
    <w:p w:rsidR="00596D44" w:rsidRPr="008523C4" w:rsidRDefault="008523C4" w:rsidP="00587116">
      <w:pPr>
        <w:spacing w:line="480" w:lineRule="auto"/>
        <w:rPr>
          <w:b/>
        </w:rPr>
      </w:pPr>
      <w:r w:rsidRPr="008523C4">
        <w:rPr>
          <w:b/>
        </w:rPr>
        <w:t xml:space="preserve">B.  Evidence of Respondent’s Wife’s Medical Records and </w:t>
      </w:r>
      <w:r w:rsidR="00271CC0">
        <w:rPr>
          <w:b/>
        </w:rPr>
        <w:t xml:space="preserve">Their </w:t>
      </w:r>
      <w:r w:rsidRPr="008523C4">
        <w:rPr>
          <w:b/>
        </w:rPr>
        <w:t>Bankruptcy Petition</w:t>
      </w:r>
      <w:r w:rsidR="00596D44" w:rsidRPr="008523C4">
        <w:rPr>
          <w:b/>
        </w:rPr>
        <w:t xml:space="preserve"> </w:t>
      </w:r>
    </w:p>
    <w:p w:rsidR="000A2A53" w:rsidRDefault="00596D44" w:rsidP="000A2A53">
      <w:pPr>
        <w:spacing w:line="480" w:lineRule="auto"/>
      </w:pPr>
      <w:r>
        <w:tab/>
      </w:r>
      <w:r w:rsidR="000A2A53">
        <w:t>The State Bar contends that the hearing judge erred by affording respondent mitigation for emotional and</w:t>
      </w:r>
      <w:r w:rsidR="00EB53E8">
        <w:t xml:space="preserve"> financial difficulties </w:t>
      </w:r>
      <w:r w:rsidR="00271CC0">
        <w:t xml:space="preserve">because </w:t>
      </w:r>
      <w:r w:rsidR="00EB53E8">
        <w:t>respondent’s</w:t>
      </w:r>
      <w:r w:rsidR="000A2A53">
        <w:t xml:space="preserve"> wife underwent surgeries and the</w:t>
      </w:r>
      <w:r w:rsidR="00054F23">
        <w:t>y file</w:t>
      </w:r>
      <w:r w:rsidR="007E73FF">
        <w:t>d</w:t>
      </w:r>
      <w:r w:rsidR="00054F23">
        <w:t xml:space="preserve"> bankruptcy in 2005</w:t>
      </w:r>
      <w:r w:rsidR="000A2A53">
        <w:t xml:space="preserve">.  We </w:t>
      </w:r>
      <w:r w:rsidR="00D2614D">
        <w:t>find</w:t>
      </w:r>
      <w:r w:rsidR="00EB53E8">
        <w:t xml:space="preserve"> that such evidence was not p</w:t>
      </w:r>
      <w:r w:rsidR="00CC4F29">
        <w:t>roperly admitted</w:t>
      </w:r>
      <w:r w:rsidR="00F17B1E">
        <w:t xml:space="preserve"> and therefore it was error to consider it in mitigation</w:t>
      </w:r>
      <w:r w:rsidR="00D2614D">
        <w:t>.</w:t>
      </w:r>
    </w:p>
    <w:p w:rsidR="00B022CF" w:rsidRDefault="00241720" w:rsidP="000A2A53">
      <w:pPr>
        <w:spacing w:line="480" w:lineRule="auto"/>
      </w:pPr>
      <w:r>
        <w:tab/>
      </w:r>
      <w:r w:rsidR="007A4FD7">
        <w:t>The record is void of an</w:t>
      </w:r>
      <w:r>
        <w:t>y</w:t>
      </w:r>
      <w:r w:rsidR="007A4FD7">
        <w:t xml:space="preserve"> evidence that </w:t>
      </w:r>
      <w:r w:rsidR="000A2A53">
        <w:t xml:space="preserve">respondent </w:t>
      </w:r>
      <w:r w:rsidR="002A4D72">
        <w:t xml:space="preserve">formally </w:t>
      </w:r>
      <w:r w:rsidR="000A2A53">
        <w:t>introduced</w:t>
      </w:r>
      <w:r>
        <w:t>,</w:t>
      </w:r>
      <w:r w:rsidR="000A2A53">
        <w:t xml:space="preserve"> or the hearing judge admitted into the record</w:t>
      </w:r>
      <w:r w:rsidR="0087166E">
        <w:t>, regarding his</w:t>
      </w:r>
      <w:r w:rsidR="000A2A53">
        <w:t xml:space="preserve"> bankruptcy petition or his wife’s medical records.</w:t>
      </w:r>
      <w:r w:rsidR="00957BE7">
        <w:t xml:space="preserve">  </w:t>
      </w:r>
      <w:r>
        <w:t>(See</w:t>
      </w:r>
      <w:r w:rsidR="00A24342">
        <w:t xml:space="preserve"> Rules Proc. of State Bar, </w:t>
      </w:r>
      <w:r>
        <w:t xml:space="preserve">rule 306(a) [“the Review Department shall consider as evidence only that which was made part of the record in the Hearing Department in the proceeding under review”].)  </w:t>
      </w:r>
      <w:r w:rsidR="00957BE7">
        <w:t xml:space="preserve">Further, </w:t>
      </w:r>
      <w:r>
        <w:t xml:space="preserve">as objected to by the State Bar, </w:t>
      </w:r>
      <w:r w:rsidR="00957BE7">
        <w:t xml:space="preserve">consideration of such evidence was in violation of the Evidence Code because it was not properly authenticated and constituted </w:t>
      </w:r>
      <w:r w:rsidR="00E04479">
        <w:t xml:space="preserve">inadmissible </w:t>
      </w:r>
      <w:r w:rsidR="00957BE7">
        <w:t xml:space="preserve">hearsay.  (See Evid. Code, §§ 1200 </w:t>
      </w:r>
      <w:r w:rsidR="001B3B0C">
        <w:t xml:space="preserve">and </w:t>
      </w:r>
      <w:r w:rsidR="00957BE7">
        <w:t xml:space="preserve">1401.)  </w:t>
      </w:r>
      <w:r w:rsidR="000A2A53">
        <w:t>Thus, such information should not have been considered by the hearing judge, and we do not consider it on review.  (See</w:t>
      </w:r>
      <w:r w:rsidR="00271CC0">
        <w:t>,</w:t>
      </w:r>
      <w:r w:rsidR="000A2A53">
        <w:t xml:space="preserve"> e.g., </w:t>
      </w:r>
      <w:r w:rsidR="000A2A53" w:rsidRPr="000B355A">
        <w:rPr>
          <w:i/>
        </w:rPr>
        <w:t>In the Matter of Ainsworth</w:t>
      </w:r>
      <w:r w:rsidR="000A2A53">
        <w:t xml:space="preserve"> (Review Dept. 1998) 3 Cal. State Bar Ct. Rptr. 894, 900 [exhibits never entered into evidence are not considered on review absent motion to augment record].)  </w:t>
      </w:r>
    </w:p>
    <w:p w:rsidR="00B022CF" w:rsidRDefault="00B022CF">
      <w:r>
        <w:br w:type="page"/>
      </w:r>
    </w:p>
    <w:p w:rsidR="008523C4" w:rsidRDefault="008523C4" w:rsidP="000A2A53">
      <w:pPr>
        <w:spacing w:line="480" w:lineRule="auto"/>
        <w:rPr>
          <w:b/>
        </w:rPr>
      </w:pPr>
      <w:r w:rsidRPr="008523C4">
        <w:rPr>
          <w:b/>
        </w:rPr>
        <w:lastRenderedPageBreak/>
        <w:t>C.  Respondent’s Request to Participate in ADP</w:t>
      </w:r>
    </w:p>
    <w:p w:rsidR="008523C4" w:rsidRDefault="008523C4" w:rsidP="00424BA1">
      <w:pPr>
        <w:spacing w:line="480" w:lineRule="auto"/>
      </w:pPr>
      <w:r>
        <w:tab/>
        <w:t>Respondent contends</w:t>
      </w:r>
      <w:r w:rsidR="00D2614D">
        <w:t xml:space="preserve"> in his responsive brief on review</w:t>
      </w:r>
      <w:r>
        <w:t xml:space="preserve"> that </w:t>
      </w:r>
      <w:r w:rsidR="00424BA1">
        <w:t>his relocation to Missouri should not prevent him from partic</w:t>
      </w:r>
      <w:r w:rsidR="0016674B">
        <w:t>ipa</w:t>
      </w:r>
      <w:r w:rsidR="00530E25">
        <w:t xml:space="preserve">ting in </w:t>
      </w:r>
      <w:r w:rsidR="00725055">
        <w:t>the State Bar Alternative Discipline Program (</w:t>
      </w:r>
      <w:r w:rsidR="00530E25">
        <w:t>ADP</w:t>
      </w:r>
      <w:r w:rsidR="00725055">
        <w:t>)</w:t>
      </w:r>
      <w:r w:rsidR="00530E25">
        <w:t xml:space="preserve">.  The written order denying respondent’s ADP request was served on October 23, 2006, and the hearing judge </w:t>
      </w:r>
      <w:r w:rsidR="0016674B">
        <w:t xml:space="preserve">orally denied </w:t>
      </w:r>
      <w:r w:rsidR="00BC5A5A">
        <w:t xml:space="preserve">respondent’s </w:t>
      </w:r>
      <w:r w:rsidR="00530E25">
        <w:t xml:space="preserve">renewed request on April 12, 2007.  </w:t>
      </w:r>
      <w:r w:rsidR="00054F23">
        <w:t xml:space="preserve">Respondent failed to seek review of </w:t>
      </w:r>
      <w:r w:rsidR="00725055">
        <w:t>either</w:t>
      </w:r>
      <w:r w:rsidR="00054F23">
        <w:t xml:space="preserve"> ruling.  </w:t>
      </w:r>
      <w:r w:rsidR="00EF18AC">
        <w:t>As such, w</w:t>
      </w:r>
      <w:r w:rsidR="0016674B">
        <w:t xml:space="preserve">e decline to review the hearing judge’s denial of respondent’s </w:t>
      </w:r>
      <w:r w:rsidR="00530E25">
        <w:t xml:space="preserve">ADP </w:t>
      </w:r>
      <w:r w:rsidR="00BC5A5A">
        <w:t xml:space="preserve">request because </w:t>
      </w:r>
      <w:r w:rsidR="00271CC0">
        <w:t xml:space="preserve">the </w:t>
      </w:r>
      <w:r w:rsidR="00530E25">
        <w:t>time for seeking such review h</w:t>
      </w:r>
      <w:r w:rsidR="00204647">
        <w:t>a</w:t>
      </w:r>
      <w:r w:rsidR="00530E25">
        <w:t xml:space="preserve">s expired.  </w:t>
      </w:r>
      <w:r w:rsidR="00BC5A5A">
        <w:t>(Rules Proc. of State Bar, rule 807(a) [review of decision to deny respondent admittance to ADP shall only be pursuant to rule 300</w:t>
      </w:r>
      <w:r w:rsidR="00A24342">
        <w:t xml:space="preserve">]; </w:t>
      </w:r>
      <w:r w:rsidR="00BC5A5A">
        <w:t>Rules Proc. of State Bar, rule 300</w:t>
      </w:r>
      <w:r w:rsidR="00A24342">
        <w:t>(b)</w:t>
      </w:r>
      <w:r w:rsidR="00BC5A5A">
        <w:t xml:space="preserve"> [</w:t>
      </w:r>
      <w:r w:rsidR="00530E25">
        <w:t>“</w:t>
      </w:r>
      <w:r w:rsidR="00BC5A5A">
        <w:t>a</w:t>
      </w:r>
      <w:r w:rsidR="00530E25">
        <w:t>ggrieved party may petition the Review Department for review of an order within fifteen (15) days of the service of a written order by judge of the Hearing Department, or of the making of an oral order on the record, whichever is later</w:t>
      </w:r>
      <w:r w:rsidR="008A6DA6">
        <w:t>”</w:t>
      </w:r>
      <w:r w:rsidR="00530E25">
        <w:t>].)</w:t>
      </w:r>
      <w:r w:rsidR="00BC5A5A">
        <w:t xml:space="preserve">   </w:t>
      </w:r>
    </w:p>
    <w:p w:rsidR="00DB5D7A" w:rsidRPr="00DB5D7A" w:rsidRDefault="00DB5D7A" w:rsidP="00DB5D7A">
      <w:pPr>
        <w:spacing w:line="480" w:lineRule="auto"/>
        <w:jc w:val="center"/>
        <w:rPr>
          <w:b/>
        </w:rPr>
      </w:pPr>
      <w:r w:rsidRPr="00DB5D7A">
        <w:rPr>
          <w:b/>
        </w:rPr>
        <w:t>I</w:t>
      </w:r>
      <w:r w:rsidR="00054F23">
        <w:rPr>
          <w:b/>
        </w:rPr>
        <w:t>I</w:t>
      </w:r>
      <w:r w:rsidRPr="00DB5D7A">
        <w:rPr>
          <w:b/>
        </w:rPr>
        <w:t>I.  FINDINGS OF FACT AND CULPABILITY DISCUSSION</w:t>
      </w:r>
    </w:p>
    <w:p w:rsidR="000A047C" w:rsidRPr="000A047C" w:rsidRDefault="000A047C" w:rsidP="00E3045E">
      <w:pPr>
        <w:spacing w:line="480" w:lineRule="auto"/>
        <w:rPr>
          <w:b/>
          <w:color w:val="000000"/>
        </w:rPr>
      </w:pPr>
      <w:r w:rsidRPr="000A047C">
        <w:rPr>
          <w:b/>
          <w:color w:val="000000"/>
        </w:rPr>
        <w:t>A.  Findings of Fact</w:t>
      </w:r>
    </w:p>
    <w:p w:rsidR="00197066" w:rsidRDefault="00477391" w:rsidP="00E3045E">
      <w:pPr>
        <w:spacing w:line="480" w:lineRule="auto"/>
      </w:pPr>
      <w:r>
        <w:rPr>
          <w:color w:val="000000"/>
        </w:rPr>
        <w:tab/>
      </w:r>
      <w:r w:rsidR="00BA3F10">
        <w:t xml:space="preserve">The parties stipulated to the facts </w:t>
      </w:r>
      <w:r w:rsidR="00DD787D">
        <w:t xml:space="preserve">and we adopt those </w:t>
      </w:r>
      <w:r w:rsidR="00C03493" w:rsidRPr="00BA3F10">
        <w:t>facts</w:t>
      </w:r>
      <w:r w:rsidR="00241720">
        <w:t>, which w</w:t>
      </w:r>
      <w:r w:rsidR="00C03493">
        <w:t xml:space="preserve">e briefly summarize </w:t>
      </w:r>
      <w:r w:rsidR="00241720">
        <w:t>below.</w:t>
      </w:r>
    </w:p>
    <w:p w:rsidR="00E04479" w:rsidRDefault="00197066" w:rsidP="00E3045E">
      <w:pPr>
        <w:spacing w:line="480" w:lineRule="auto"/>
      </w:pPr>
      <w:r>
        <w:tab/>
        <w:t>Respondent was admitted to the practice of law in California on October 12, 1981, and has been a member of the State Bar of California</w:t>
      </w:r>
      <w:r w:rsidR="00DD787D">
        <w:t xml:space="preserve"> at all times since that date.  </w:t>
      </w:r>
    </w:p>
    <w:p w:rsidR="005D177A" w:rsidRDefault="00E04479" w:rsidP="00E3045E">
      <w:pPr>
        <w:spacing w:line="480" w:lineRule="auto"/>
      </w:pPr>
      <w:r>
        <w:tab/>
      </w:r>
      <w:r w:rsidR="00197066">
        <w:t>Respondent maintained a client trust account at Bank of America (CTA) from June to October 2005.</w:t>
      </w:r>
      <w:r>
        <w:t xml:space="preserve">  </w:t>
      </w:r>
      <w:r w:rsidR="00197066">
        <w:t xml:space="preserve">On August 3, 2005, </w:t>
      </w:r>
      <w:r w:rsidR="00271CC0">
        <w:t>he</w:t>
      </w:r>
      <w:r w:rsidR="00197066">
        <w:t xml:space="preserve"> received a disbursement check for $46,185.96 from the Domingo Family Trust on behalf of his client, Redencion Villarama.  Respondent deposited the check into the CTA, and the next day he s</w:t>
      </w:r>
      <w:r w:rsidR="00E3045E">
        <w:t xml:space="preserve">ubtracted his fee of $4,332.50 from the CTA for </w:t>
      </w:r>
      <w:r w:rsidR="00197066">
        <w:t xml:space="preserve">the </w:t>
      </w:r>
      <w:r w:rsidR="00E3045E">
        <w:t>Villarama matter.  T</w:t>
      </w:r>
      <w:r w:rsidR="00197066">
        <w:t xml:space="preserve">hereafter, respondent was required to maintain </w:t>
      </w:r>
      <w:r w:rsidR="005D177A">
        <w:t xml:space="preserve">the </w:t>
      </w:r>
      <w:r w:rsidR="00197066">
        <w:t xml:space="preserve">sum of $41,853.46 </w:t>
      </w:r>
      <w:r w:rsidR="005D177A">
        <w:t xml:space="preserve">in the CTA </w:t>
      </w:r>
      <w:r w:rsidR="00197066">
        <w:t>on behalf of Villarama</w:t>
      </w:r>
      <w:r w:rsidR="001B3B0C">
        <w:t>,</w:t>
      </w:r>
      <w:r w:rsidR="00197066">
        <w:t xml:space="preserve"> but the balance soon fell below that amount. </w:t>
      </w:r>
    </w:p>
    <w:p w:rsidR="005D177A" w:rsidRDefault="005D177A" w:rsidP="00E3045E">
      <w:pPr>
        <w:spacing w:line="480" w:lineRule="auto"/>
      </w:pPr>
      <w:r>
        <w:lastRenderedPageBreak/>
        <w:tab/>
        <w:t xml:space="preserve">From August 15 through August 23, 2005, respondent withdrew a total of $2,200 from the CTA for himself, as follows:  </w:t>
      </w:r>
    </w:p>
    <w:p w:rsidR="005D177A" w:rsidRPr="00054F23" w:rsidRDefault="00241720" w:rsidP="00241720">
      <w:pPr>
        <w:tabs>
          <w:tab w:val="left" w:pos="720"/>
          <w:tab w:val="left" w:pos="1440"/>
          <w:tab w:val="left" w:pos="2160"/>
          <w:tab w:val="left" w:pos="2880"/>
          <w:tab w:val="left" w:pos="3600"/>
        </w:tabs>
        <w:ind w:left="3600" w:hanging="3600"/>
        <w:rPr>
          <w:u w:val="single"/>
        </w:rPr>
      </w:pPr>
      <w:r>
        <w:tab/>
      </w:r>
      <w:r w:rsidR="005D177A">
        <w:tab/>
      </w:r>
      <w:r w:rsidR="005D177A" w:rsidRPr="00054F23">
        <w:rPr>
          <w:i/>
          <w:iCs/>
          <w:u w:val="single"/>
        </w:rPr>
        <w:t>Date</w:t>
      </w:r>
      <w:r w:rsidR="005D177A">
        <w:rPr>
          <w:i/>
          <w:iCs/>
        </w:rPr>
        <w:tab/>
      </w:r>
      <w:r w:rsidR="005D177A">
        <w:rPr>
          <w:i/>
          <w:iCs/>
        </w:rPr>
        <w:tab/>
      </w:r>
      <w:r w:rsidR="005D177A">
        <w:rPr>
          <w:i/>
          <w:iCs/>
        </w:rPr>
        <w:tab/>
      </w:r>
      <w:r w:rsidR="005D177A">
        <w:rPr>
          <w:i/>
          <w:iCs/>
        </w:rPr>
        <w:tab/>
      </w:r>
      <w:r w:rsidR="005D177A" w:rsidRPr="00054F23">
        <w:rPr>
          <w:i/>
          <w:iCs/>
          <w:u w:val="single"/>
        </w:rPr>
        <w:t>Amount</w:t>
      </w:r>
    </w:p>
    <w:p w:rsidR="005D177A" w:rsidRDefault="00241720" w:rsidP="00241720">
      <w:pPr>
        <w:tabs>
          <w:tab w:val="left" w:pos="720"/>
          <w:tab w:val="left" w:pos="1440"/>
          <w:tab w:val="left" w:pos="2160"/>
          <w:tab w:val="left" w:pos="2880"/>
          <w:tab w:val="left" w:pos="3600"/>
        </w:tabs>
        <w:ind w:left="3600" w:hanging="3600"/>
      </w:pPr>
      <w:r>
        <w:tab/>
      </w:r>
      <w:r w:rsidR="005D177A">
        <w:tab/>
        <w:t>August 16, 2005</w:t>
      </w:r>
      <w:r w:rsidR="005D177A">
        <w:tab/>
      </w:r>
      <w:r w:rsidR="005D177A">
        <w:tab/>
        <w:t>$  700</w:t>
      </w:r>
    </w:p>
    <w:p w:rsidR="005D177A" w:rsidRDefault="00241720" w:rsidP="00241720">
      <w:pPr>
        <w:tabs>
          <w:tab w:val="left" w:pos="720"/>
          <w:tab w:val="left" w:pos="1440"/>
          <w:tab w:val="left" w:pos="2160"/>
          <w:tab w:val="left" w:pos="2880"/>
          <w:tab w:val="left" w:pos="3600"/>
        </w:tabs>
        <w:ind w:left="3600" w:hanging="3600"/>
      </w:pPr>
      <w:r>
        <w:tab/>
      </w:r>
      <w:r w:rsidR="005D177A">
        <w:tab/>
        <w:t>August 17, 2005</w:t>
      </w:r>
      <w:r w:rsidR="005D177A">
        <w:rPr>
          <w:vertAlign w:val="superscript"/>
        </w:rPr>
        <w:tab/>
      </w:r>
      <w:r w:rsidR="005D177A">
        <w:rPr>
          <w:vertAlign w:val="superscript"/>
        </w:rPr>
        <w:tab/>
      </w:r>
      <w:r w:rsidR="005D177A">
        <w:t>$  500</w:t>
      </w:r>
    </w:p>
    <w:p w:rsidR="005D177A" w:rsidRDefault="00241720" w:rsidP="00241720">
      <w:pPr>
        <w:tabs>
          <w:tab w:val="left" w:pos="720"/>
          <w:tab w:val="left" w:pos="1440"/>
          <w:tab w:val="left" w:pos="2160"/>
          <w:tab w:val="left" w:pos="2880"/>
          <w:tab w:val="left" w:pos="3600"/>
        </w:tabs>
        <w:ind w:left="3600" w:hanging="3600"/>
      </w:pPr>
      <w:r>
        <w:tab/>
      </w:r>
      <w:r w:rsidR="005D177A">
        <w:tab/>
        <w:t>August 19, 2005</w:t>
      </w:r>
      <w:r w:rsidR="005D177A">
        <w:tab/>
      </w:r>
      <w:r w:rsidR="005D177A">
        <w:tab/>
        <w:t>$  300</w:t>
      </w:r>
    </w:p>
    <w:p w:rsidR="005D177A" w:rsidRDefault="00241720" w:rsidP="00241720">
      <w:pPr>
        <w:tabs>
          <w:tab w:val="left" w:pos="720"/>
          <w:tab w:val="left" w:pos="1440"/>
          <w:tab w:val="left" w:pos="2160"/>
          <w:tab w:val="left" w:pos="2880"/>
          <w:tab w:val="left" w:pos="3600"/>
        </w:tabs>
        <w:ind w:left="3600" w:hanging="3600"/>
        <w:rPr>
          <w:u w:val="single"/>
        </w:rPr>
      </w:pPr>
      <w:r>
        <w:tab/>
      </w:r>
      <w:r w:rsidR="005D177A">
        <w:tab/>
        <w:t>August 22, 2005</w:t>
      </w:r>
      <w:r w:rsidR="005D177A">
        <w:tab/>
      </w:r>
      <w:r w:rsidR="005D177A">
        <w:tab/>
      </w:r>
      <w:r w:rsidR="005D177A">
        <w:rPr>
          <w:u w:val="single"/>
        </w:rPr>
        <w:t>$  700</w:t>
      </w:r>
    </w:p>
    <w:p w:rsidR="005D177A" w:rsidRDefault="00241720" w:rsidP="00054F23">
      <w:pPr>
        <w:tabs>
          <w:tab w:val="left" w:pos="720"/>
          <w:tab w:val="left" w:pos="1440"/>
          <w:tab w:val="left" w:pos="2160"/>
          <w:tab w:val="left" w:pos="2880"/>
        </w:tabs>
        <w:spacing w:line="480" w:lineRule="auto"/>
        <w:ind w:left="2880" w:hanging="2880"/>
        <w:rPr>
          <w:iCs/>
        </w:rPr>
      </w:pPr>
      <w:r>
        <w:tab/>
      </w:r>
      <w:r w:rsidR="005D177A">
        <w:tab/>
      </w:r>
      <w:r w:rsidR="005D177A">
        <w:tab/>
      </w:r>
      <w:r w:rsidR="005D177A">
        <w:rPr>
          <w:i/>
          <w:iCs/>
        </w:rPr>
        <w:t xml:space="preserve"> </w:t>
      </w:r>
      <w:r w:rsidR="005D177A" w:rsidRPr="00054F23">
        <w:rPr>
          <w:iCs/>
        </w:rPr>
        <w:t xml:space="preserve">   Total</w:t>
      </w:r>
      <w:r w:rsidR="005D177A" w:rsidRPr="00054F23">
        <w:rPr>
          <w:iCs/>
        </w:rPr>
        <w:tab/>
        <w:t xml:space="preserve">           $2,200</w:t>
      </w:r>
    </w:p>
    <w:p w:rsidR="00BB49E6" w:rsidRDefault="00BB49E6" w:rsidP="00E3045E">
      <w:pPr>
        <w:spacing w:line="480" w:lineRule="auto"/>
      </w:pPr>
      <w:r>
        <w:t>Respondent did not make any of these withdrawals on behalf of Villarama.</w:t>
      </w:r>
    </w:p>
    <w:p w:rsidR="00BB49E6" w:rsidRDefault="00E3045E" w:rsidP="00E3045E">
      <w:pPr>
        <w:spacing w:line="480" w:lineRule="auto"/>
      </w:pPr>
      <w:r>
        <w:tab/>
        <w:t xml:space="preserve">Respondent failed to </w:t>
      </w:r>
      <w:r w:rsidR="00BB49E6">
        <w:t>maintain any attorney-client trust account ledgers for his attorney-client trust account or an individual client ledger for Villarama or the Domingo Family Trust.</w:t>
      </w:r>
    </w:p>
    <w:p w:rsidR="00BB49E6" w:rsidRDefault="00BB49E6" w:rsidP="00E3045E">
      <w:pPr>
        <w:spacing w:line="480" w:lineRule="auto"/>
      </w:pPr>
      <w:r>
        <w:tab/>
        <w:t>On August 30, 2005, respondent deposited in</w:t>
      </w:r>
      <w:r w:rsidR="00E04479">
        <w:t>to</w:t>
      </w:r>
      <w:r>
        <w:t xml:space="preserve"> the CTA funds belonging to him which were received from Radomir Vukadin in the amount of $2,650.  These funds represented respondent’s earned fees, his interest in them was already fixed, and the funds belonged to </w:t>
      </w:r>
      <w:r w:rsidR="00271CC0">
        <w:t>him</w:t>
      </w:r>
      <w:r>
        <w:t xml:space="preserve"> at the time of deposit.</w:t>
      </w:r>
    </w:p>
    <w:p w:rsidR="00BB49E6" w:rsidRDefault="00BB49E6" w:rsidP="00E3045E">
      <w:pPr>
        <w:spacing w:line="480" w:lineRule="auto"/>
      </w:pPr>
      <w:r>
        <w:tab/>
        <w:t>On August 30, 2005, respondent issued a CTA check to Vill</w:t>
      </w:r>
      <w:r w:rsidR="00506C9F">
        <w:t>arama in the sum of $41,853.</w:t>
      </w:r>
      <w:r w:rsidR="00874A40">
        <w:t>4</w:t>
      </w:r>
      <w:r w:rsidR="00506C9F">
        <w:t xml:space="preserve">6.  </w:t>
      </w:r>
      <w:r>
        <w:t xml:space="preserve">On September 1, 2005, the </w:t>
      </w:r>
      <w:r w:rsidR="00506C9F">
        <w:t xml:space="preserve">CTA’s </w:t>
      </w:r>
      <w:r>
        <w:t>balance was approximately $40,084.28.</w:t>
      </w:r>
      <w:r w:rsidR="00506C9F">
        <w:t xml:space="preserve">  </w:t>
      </w:r>
      <w:r>
        <w:t>On September 6, 2005, the bank honored the check</w:t>
      </w:r>
      <w:r w:rsidR="00204647">
        <w:t xml:space="preserve"> despite the insufficient funds</w:t>
      </w:r>
      <w:r>
        <w:t>, but notified both respondent and the State Bar that respondent’s</w:t>
      </w:r>
      <w:r w:rsidR="00506C9F">
        <w:t xml:space="preserve"> CTA balance </w:t>
      </w:r>
      <w:r>
        <w:t xml:space="preserve">was </w:t>
      </w:r>
      <w:r w:rsidR="00EE1E18">
        <w:t xml:space="preserve">overdrawn by </w:t>
      </w:r>
      <w:r>
        <w:t xml:space="preserve">$449.18. </w:t>
      </w:r>
    </w:p>
    <w:p w:rsidR="00BB49E6" w:rsidRDefault="00BB49E6" w:rsidP="00E3045E">
      <w:pPr>
        <w:spacing w:line="480" w:lineRule="auto"/>
      </w:pPr>
      <w:r>
        <w:tab/>
        <w:t xml:space="preserve">On September 6, 2005, respondent deposited in the CTA funds which </w:t>
      </w:r>
      <w:r w:rsidR="00271CC0">
        <w:t xml:space="preserve">he </w:t>
      </w:r>
      <w:r>
        <w:t xml:space="preserve">received from Kenneth Kasik in the amount of $2,920.  These funds represented respondent’s earned fees, his interest in them was already fixed, and the funds belonged to </w:t>
      </w:r>
      <w:r w:rsidR="00271CC0">
        <w:t>him</w:t>
      </w:r>
      <w:r w:rsidR="00506C9F">
        <w:t xml:space="preserve"> at the time of deposit.  </w:t>
      </w:r>
      <w:r w:rsidR="005D2EC8">
        <w:t>Kasik’s</w:t>
      </w:r>
      <w:r w:rsidR="00506C9F">
        <w:t xml:space="preserve"> check was dishonored because Kasik had </w:t>
      </w:r>
      <w:r>
        <w:t xml:space="preserve">insufficient funds in his account. </w:t>
      </w:r>
    </w:p>
    <w:p w:rsidR="00B022CF" w:rsidRDefault="00BB49E6" w:rsidP="00011D66">
      <w:pPr>
        <w:spacing w:line="480" w:lineRule="auto"/>
      </w:pPr>
      <w:r>
        <w:tab/>
        <w:t>On September 7, 2005, respondent transferred from his general account into the CTA funds belonging to him in the amount of $449.18 to cover the overdraft from the CTA.</w:t>
      </w:r>
    </w:p>
    <w:p w:rsidR="00B022CF" w:rsidRDefault="00B022CF">
      <w:r>
        <w:br w:type="page"/>
      </w:r>
    </w:p>
    <w:p w:rsidR="00603921" w:rsidRPr="00011D66" w:rsidRDefault="00011D66" w:rsidP="00011D66">
      <w:pPr>
        <w:spacing w:line="480" w:lineRule="auto"/>
        <w:rPr>
          <w:b/>
        </w:rPr>
      </w:pPr>
      <w:r>
        <w:rPr>
          <w:b/>
        </w:rPr>
        <w:lastRenderedPageBreak/>
        <w:t>B</w:t>
      </w:r>
      <w:r w:rsidRPr="00011D66">
        <w:rPr>
          <w:b/>
        </w:rPr>
        <w:t xml:space="preserve">.  </w:t>
      </w:r>
      <w:r w:rsidR="00603921" w:rsidRPr="00011D66">
        <w:rPr>
          <w:b/>
        </w:rPr>
        <w:t>Culpability</w:t>
      </w:r>
      <w:r w:rsidR="00DD787D" w:rsidRPr="00011D66">
        <w:rPr>
          <w:b/>
        </w:rPr>
        <w:t xml:space="preserve"> </w:t>
      </w:r>
    </w:p>
    <w:p w:rsidR="00A21F42" w:rsidRPr="001E28FC" w:rsidRDefault="004E4B23" w:rsidP="007566F2">
      <w:pPr>
        <w:pStyle w:val="ListParagraph"/>
        <w:numPr>
          <w:ilvl w:val="0"/>
          <w:numId w:val="9"/>
        </w:numPr>
        <w:spacing w:line="480" w:lineRule="auto"/>
        <w:rPr>
          <w:b/>
        </w:rPr>
      </w:pPr>
      <w:r w:rsidRPr="001E28FC">
        <w:rPr>
          <w:b/>
        </w:rPr>
        <w:t>Count 1</w:t>
      </w:r>
      <w:r w:rsidR="00A21F42" w:rsidRPr="001E28FC">
        <w:rPr>
          <w:b/>
        </w:rPr>
        <w:t xml:space="preserve">:  </w:t>
      </w:r>
      <w:r w:rsidRPr="001E28FC">
        <w:rPr>
          <w:b/>
        </w:rPr>
        <w:t>Rule 4-100(A)</w:t>
      </w:r>
      <w:r w:rsidR="00A21F42" w:rsidRPr="001E28FC">
        <w:rPr>
          <w:b/>
        </w:rPr>
        <w:t xml:space="preserve"> - Failure to Maintain Client Funds in Trust Account</w:t>
      </w:r>
    </w:p>
    <w:p w:rsidR="0020634E" w:rsidRDefault="00A21F42" w:rsidP="00186F50">
      <w:pPr>
        <w:spacing w:line="480" w:lineRule="auto"/>
      </w:pPr>
      <w:r>
        <w:tab/>
        <w:t>The hearing judge found that respondent</w:t>
      </w:r>
      <w:r w:rsidR="004E7745">
        <w:t xml:space="preserve"> violated rule 4-100(A) </w:t>
      </w:r>
      <w:r>
        <w:t xml:space="preserve">by </w:t>
      </w:r>
      <w:r w:rsidR="00186F50">
        <w:t xml:space="preserve">failing to maintain $41,853.46 in the CTA on behalf of Villarama.  We agree.  Rule 4-100(A) </w:t>
      </w:r>
      <w:r w:rsidR="00186F50" w:rsidRPr="00986C45">
        <w:rPr>
          <w:color w:val="000000"/>
        </w:rPr>
        <w:t>provides that all funds received or held for the benefit of clients must be deposited and maintained in a client trust account.</w:t>
      </w:r>
      <w:bookmarkStart w:id="4" w:name="SR;4556"/>
      <w:bookmarkStart w:id="5" w:name="SearchTerm"/>
      <w:bookmarkEnd w:id="4"/>
      <w:bookmarkEnd w:id="5"/>
      <w:r w:rsidR="00E04479">
        <w:rPr>
          <w:color w:val="000000"/>
        </w:rPr>
        <w:t xml:space="preserve">  </w:t>
      </w:r>
      <w:r w:rsidR="00186F50">
        <w:t>The balance of the CTA on September 1, 2005, was $40,084.28, and five days later</w:t>
      </w:r>
      <w:r w:rsidR="00271CC0">
        <w:t>,</w:t>
      </w:r>
      <w:r w:rsidR="00186F50">
        <w:t xml:space="preserve"> the balance was overdrawn by $449.18 after respondent issued a check to Villarama.  </w:t>
      </w:r>
      <w:r w:rsidR="0020634E">
        <w:t>Accordingly, respondent willfully failed to maintain client funds in a trust account by failing to maintain a balance of $41,853.46 in the CTA, in violation of rule 4-100(A).</w:t>
      </w:r>
      <w:r w:rsidR="00284B21">
        <w:t xml:space="preserve">  (See </w:t>
      </w:r>
      <w:r w:rsidR="00284B21" w:rsidRPr="00284B21">
        <w:rPr>
          <w:i/>
        </w:rPr>
        <w:t>In the Matter of Acuna</w:t>
      </w:r>
      <w:r w:rsidR="00284B21">
        <w:t xml:space="preserve"> (Review Dept. 1996) 3 Cal. State Bar Ct. Rptr. 495, 504 [by allowing balance of client’s trust account to fall below the amount owed to client, respondent willfully mishandled trust funds in violation of rule 4-100(A)].) </w:t>
      </w:r>
      <w:r w:rsidR="0020634E">
        <w:t xml:space="preserve"> </w:t>
      </w:r>
      <w:r w:rsidR="00186F50">
        <w:t xml:space="preserve">  </w:t>
      </w:r>
    </w:p>
    <w:p w:rsidR="0020634E" w:rsidRPr="001E28FC" w:rsidRDefault="0020634E" w:rsidP="001E28FC">
      <w:pPr>
        <w:pStyle w:val="ListParagraph"/>
        <w:numPr>
          <w:ilvl w:val="0"/>
          <w:numId w:val="9"/>
        </w:numPr>
        <w:spacing w:line="480" w:lineRule="auto"/>
        <w:rPr>
          <w:b/>
        </w:rPr>
      </w:pPr>
      <w:r w:rsidRPr="001E28FC">
        <w:rPr>
          <w:b/>
        </w:rPr>
        <w:t>Count 2:  Section 6106 – Misappropriation</w:t>
      </w:r>
    </w:p>
    <w:p w:rsidR="0020634E" w:rsidRDefault="0020634E" w:rsidP="00186F50">
      <w:pPr>
        <w:spacing w:line="480" w:lineRule="auto"/>
      </w:pPr>
      <w:r>
        <w:tab/>
        <w:t>The hearing judge found respondent committed an act involving moral turpitude, dishonesty or corruption, in violation of section 6106, by misappropriating $2,200 from the CTA.  We agree.</w:t>
      </w:r>
      <w:r w:rsidR="00996D5D">
        <w:t xml:space="preserve">  (See </w:t>
      </w:r>
      <w:r w:rsidR="00996D5D" w:rsidRPr="00996D5D">
        <w:rPr>
          <w:i/>
        </w:rPr>
        <w:t>In the Matter of Sklar</w:t>
      </w:r>
      <w:r w:rsidR="00996D5D">
        <w:t xml:space="preserve"> (Review Dept. 1993) 2 Cal. State Bar Ct. Rptr. 602, 618 [respondent’s misappropriation of funds from client trust account violates section 6106].)</w:t>
      </w:r>
    </w:p>
    <w:p w:rsidR="00453019" w:rsidRDefault="0020634E" w:rsidP="00186F50">
      <w:pPr>
        <w:spacing w:line="480" w:lineRule="auto"/>
      </w:pPr>
      <w:r>
        <w:tab/>
      </w:r>
      <w:r w:rsidR="001E28FC">
        <w:t xml:space="preserve">We disagree with the </w:t>
      </w:r>
      <w:r>
        <w:t>State Bar</w:t>
      </w:r>
      <w:r w:rsidR="001E28FC">
        <w:t>’s contention</w:t>
      </w:r>
      <w:r>
        <w:t xml:space="preserve"> that the actual amount of respondent’s misapprop</w:t>
      </w:r>
      <w:r w:rsidR="001E28FC">
        <w:t xml:space="preserve">riation totaled $4,419.18.  </w:t>
      </w:r>
      <w:r w:rsidR="003163B5">
        <w:t xml:space="preserve">The parties stipulated that respondent misappropriated </w:t>
      </w:r>
      <w:r w:rsidR="001E28FC">
        <w:t>“</w:t>
      </w:r>
      <w:r w:rsidR="003163B5">
        <w:t>at least $2,200</w:t>
      </w:r>
      <w:r w:rsidR="001E28FC">
        <w:t xml:space="preserve">” from the CTA.  </w:t>
      </w:r>
      <w:r w:rsidR="003163B5">
        <w:t xml:space="preserve">Respondent deposited $41,853.46 into the CTA on behalf of Villarama, withdrew $2,200 for his own personal use between August 16 and August 22, 2005, and deposited personal funds </w:t>
      </w:r>
      <w:r w:rsidR="005871C0">
        <w:t>totaling $2,650</w:t>
      </w:r>
      <w:r w:rsidR="008A6DA6">
        <w:t xml:space="preserve"> on August 30, 2005.  </w:t>
      </w:r>
      <w:r w:rsidR="005871C0">
        <w:t xml:space="preserve">On </w:t>
      </w:r>
      <w:r w:rsidR="003163B5">
        <w:t>September 1, 2005, the balance of the CTA was $40,084.28.</w:t>
      </w:r>
      <w:r w:rsidR="005871C0">
        <w:t xml:space="preserve">  The State Bar alleges that $2,650 of the $40,084.28 represented respondent’s personal funds, and thus, as of September 1, 2005, only $</w:t>
      </w:r>
      <w:r w:rsidR="00453019">
        <w:t xml:space="preserve">37,434.28 of </w:t>
      </w:r>
      <w:r w:rsidR="00453019">
        <w:lastRenderedPageBreak/>
        <w:t>the funds could be traced to the deposit made on behalf of Villarama (i.e., $40,0</w:t>
      </w:r>
      <w:r w:rsidR="005D2EC8">
        <w:t>84.28 - $2,650 = $37,434.28).  According to the State Bar, t</w:t>
      </w:r>
      <w:r w:rsidR="00453019">
        <w:t xml:space="preserve">he difference between the amount respondent was required to </w:t>
      </w:r>
      <w:r w:rsidR="00271CC0">
        <w:t>maintain in the CTA (</w:t>
      </w:r>
      <w:r w:rsidR="002653A7">
        <w:t>$41,853.46</w:t>
      </w:r>
      <w:r w:rsidR="00271CC0">
        <w:t>)</w:t>
      </w:r>
      <w:r w:rsidR="002653A7">
        <w:t xml:space="preserve"> </w:t>
      </w:r>
      <w:r w:rsidR="00453019">
        <w:t>and the amount remaining in the CTA as of Septembe</w:t>
      </w:r>
      <w:r w:rsidR="002653A7">
        <w:t xml:space="preserve">r 1, 2005, which </w:t>
      </w:r>
      <w:r w:rsidR="00453019">
        <w:t>represented the amount held in trus</w:t>
      </w:r>
      <w:r w:rsidR="001E28FC">
        <w:t xml:space="preserve">t for Villarama ($37,434.28) </w:t>
      </w:r>
      <w:r w:rsidR="00157A09">
        <w:t>equals $4,4</w:t>
      </w:r>
      <w:r w:rsidR="00453019">
        <w:t>19.18.</w:t>
      </w:r>
    </w:p>
    <w:p w:rsidR="00241720" w:rsidRDefault="00453019" w:rsidP="00186F50">
      <w:pPr>
        <w:spacing w:line="480" w:lineRule="auto"/>
      </w:pPr>
      <w:r>
        <w:tab/>
      </w:r>
      <w:r w:rsidR="00EE6DA7">
        <w:t xml:space="preserve">Regardless of the </w:t>
      </w:r>
      <w:r w:rsidR="002B78F4">
        <w:t xml:space="preserve">strong </w:t>
      </w:r>
      <w:r w:rsidR="00EE6DA7">
        <w:t>inferences that may be drawn from the balances in the CTA on August 30 and September 1, 2005, “the State Bar’s burden requires it to present proof in the form of stipulated facts or admissible evidence to support” the amount of money respondent misappropriated.  (</w:t>
      </w:r>
      <w:r w:rsidR="00271CC0">
        <w:rPr>
          <w:i/>
        </w:rPr>
        <w:t>In the M</w:t>
      </w:r>
      <w:r w:rsidR="00EE6DA7" w:rsidRPr="00EE6DA7">
        <w:rPr>
          <w:i/>
        </w:rPr>
        <w:t>atter of Malek-Yonan</w:t>
      </w:r>
      <w:r w:rsidR="00EE6DA7">
        <w:t xml:space="preserve"> (Review Dept. 2003) 4 Cal. State Bar Ct. Rptr. 627, 635.)  The stipulated facts fail to provide clear and convincing evidence that respondent misappropriated $4,419.18.  There is a factual gap as to what occurred between August 30 and September 1, 2005</w:t>
      </w:r>
      <w:r w:rsidR="0033362D">
        <w:t>, and we cannot infer that respondent misappropriated $4,419.18 when there has been no showing that the balance di</w:t>
      </w:r>
      <w:r w:rsidR="002653A7">
        <w:t xml:space="preserve">pped as low as $37,434.28.  (Cf. </w:t>
      </w:r>
      <w:r w:rsidR="00874A40">
        <w:rPr>
          <w:i/>
        </w:rPr>
        <w:t xml:space="preserve">In the Matter of Sklar, supra, </w:t>
      </w:r>
      <w:r w:rsidR="00874A40">
        <w:t>2 Cal. State Bar Ct. Rptr. at p. 618</w:t>
      </w:r>
      <w:r w:rsidR="0033362D">
        <w:t xml:space="preserve"> [“</w:t>
      </w:r>
      <w:r w:rsidR="00874A40">
        <w:t>[</w:t>
      </w:r>
      <w:r w:rsidR="0033362D" w:rsidRPr="0033362D">
        <w:rPr>
          <w:color w:val="000000"/>
        </w:rPr>
        <w:t>O</w:t>
      </w:r>
      <w:r w:rsidR="00874A40">
        <w:rPr>
          <w:color w:val="000000"/>
        </w:rPr>
        <w:t>]</w:t>
      </w:r>
      <w:r w:rsidR="0033362D" w:rsidRPr="0033362D">
        <w:rPr>
          <w:color w:val="000000"/>
        </w:rPr>
        <w:t>nce</w:t>
      </w:r>
      <w:bookmarkStart w:id="6" w:name="SR;4405"/>
      <w:bookmarkEnd w:id="6"/>
      <w:r w:rsidR="0033362D">
        <w:rPr>
          <w:color w:val="000000"/>
        </w:rPr>
        <w:t xml:space="preserve"> the trust</w:t>
      </w:r>
      <w:r w:rsidR="0033362D" w:rsidRPr="0033362D">
        <w:rPr>
          <w:color w:val="000000"/>
        </w:rPr>
        <w:t xml:space="preserve"> account balance is shown to have dipped below the appropriate amount, an inference of misappropriation may be drawn.</w:t>
      </w:r>
      <w:r w:rsidR="0033362D">
        <w:rPr>
          <w:color w:val="000000"/>
        </w:rPr>
        <w:t xml:space="preserve">”].)  </w:t>
      </w:r>
      <w:r w:rsidR="00AD067D">
        <w:t>Since we must resolve all reasonable doubts in favor of respondent (</w:t>
      </w:r>
      <w:r w:rsidR="00AD067D" w:rsidRPr="00096D74">
        <w:rPr>
          <w:i/>
        </w:rPr>
        <w:t>In the Matter of Respondent H</w:t>
      </w:r>
      <w:r w:rsidR="00AD067D">
        <w:t xml:space="preserve"> (Review Dept. 1992) 2 Cal. State Bar Ct. Rptr. 234, 240), </w:t>
      </w:r>
      <w:r w:rsidR="00096D74">
        <w:t>w</w:t>
      </w:r>
      <w:r w:rsidR="00465220">
        <w:t>ithout any additional information we are unable to determine what did or did not occur on the day in between August 30, 2005,</w:t>
      </w:r>
      <w:r w:rsidR="00AD067D">
        <w:t xml:space="preserve"> and September 1, 2005</w:t>
      </w:r>
      <w:r w:rsidR="00096D74">
        <w:t xml:space="preserve">.  </w:t>
      </w:r>
      <w:r w:rsidR="002B78F4">
        <w:t>Thus, we limit our culpability determination to a finding that respondent misappropriated $2,200.</w:t>
      </w:r>
    </w:p>
    <w:p w:rsidR="00096D74" w:rsidRPr="00575063" w:rsidRDefault="00575063" w:rsidP="00575063">
      <w:pPr>
        <w:pStyle w:val="ListParagraph"/>
        <w:numPr>
          <w:ilvl w:val="0"/>
          <w:numId w:val="9"/>
        </w:numPr>
        <w:rPr>
          <w:b/>
        </w:rPr>
      </w:pPr>
      <w:r w:rsidRPr="00575063">
        <w:rPr>
          <w:b/>
        </w:rPr>
        <w:t>C</w:t>
      </w:r>
      <w:r w:rsidR="00096D74" w:rsidRPr="00575063">
        <w:rPr>
          <w:b/>
        </w:rPr>
        <w:t>ount 3:  Rule 4-100(A) – Commingling</w:t>
      </w:r>
    </w:p>
    <w:p w:rsidR="00575063" w:rsidRPr="001E28FC" w:rsidRDefault="00575063" w:rsidP="00575063">
      <w:pPr>
        <w:rPr>
          <w:b/>
        </w:rPr>
      </w:pPr>
    </w:p>
    <w:p w:rsidR="007D7A28" w:rsidRDefault="00D1467F" w:rsidP="00186F50">
      <w:pPr>
        <w:spacing w:line="480" w:lineRule="auto"/>
      </w:pPr>
      <w:r>
        <w:tab/>
      </w:r>
      <w:r w:rsidR="00E04479">
        <w:t xml:space="preserve">In addition to requiring that client funds be deposited and maintained in a client trust account, </w:t>
      </w:r>
      <w:r w:rsidR="00271CC0">
        <w:t>r</w:t>
      </w:r>
      <w:r w:rsidR="00E04479">
        <w:rPr>
          <w:color w:val="000000"/>
        </w:rPr>
        <w:t xml:space="preserve">ule 4-100(A) </w:t>
      </w:r>
      <w:r w:rsidR="00E04479" w:rsidRPr="00986C45">
        <w:rPr>
          <w:color w:val="000000"/>
        </w:rPr>
        <w:t xml:space="preserve">prohibits a member </w:t>
      </w:r>
      <w:r w:rsidR="00393375">
        <w:rPr>
          <w:color w:val="000000"/>
        </w:rPr>
        <w:t xml:space="preserve">of the Bar </w:t>
      </w:r>
      <w:r w:rsidR="00874A40">
        <w:rPr>
          <w:color w:val="000000"/>
        </w:rPr>
        <w:t>from commingling the member’</w:t>
      </w:r>
      <w:r w:rsidR="00E04479" w:rsidRPr="00986C45">
        <w:rPr>
          <w:color w:val="000000"/>
        </w:rPr>
        <w:t>s personal funds in the client trust account.</w:t>
      </w:r>
      <w:r w:rsidR="00E04479">
        <w:rPr>
          <w:color w:val="000000"/>
        </w:rPr>
        <w:t xml:space="preserve">  </w:t>
      </w:r>
      <w:r w:rsidR="00874A40">
        <w:t>We agree with the hearing judge’</w:t>
      </w:r>
      <w:r>
        <w:t xml:space="preserve">s finding that respondent </w:t>
      </w:r>
      <w:r>
        <w:lastRenderedPageBreak/>
        <w:t>willfully violated rule 4-100(A) by depositing into the CTA $2</w:t>
      </w:r>
      <w:r w:rsidR="000F7704">
        <w:t>,650 of personal funds</w:t>
      </w:r>
      <w:r w:rsidR="00D65BB2">
        <w:t xml:space="preserve">.  </w:t>
      </w:r>
      <w:r w:rsidR="00D2460E">
        <w:t xml:space="preserve">(See </w:t>
      </w:r>
      <w:r w:rsidR="00D2460E" w:rsidRPr="00D2460E">
        <w:rPr>
          <w:i/>
        </w:rPr>
        <w:t>In the Matter of Doran</w:t>
      </w:r>
      <w:r w:rsidR="00D2460E">
        <w:t xml:space="preserve"> (1998) 3 Cal. State Bar Ct. Rptr. 871, 876 [respondent </w:t>
      </w:r>
      <w:r w:rsidR="007D7A28">
        <w:t>deposited personal funds into client trust accounts and used accounts for personal expenses, in violation of rule 4-100(A)].)</w:t>
      </w:r>
      <w:r w:rsidR="00D65BB2">
        <w:rPr>
          <w:rStyle w:val="FootnoteReference"/>
        </w:rPr>
        <w:footnoteReference w:id="6"/>
      </w:r>
    </w:p>
    <w:p w:rsidR="001E28FC" w:rsidRDefault="00A258D6" w:rsidP="001E28FC">
      <w:pPr>
        <w:spacing w:line="480" w:lineRule="auto"/>
      </w:pPr>
      <w:r>
        <w:tab/>
        <w:t xml:space="preserve">We also agree with the hearing judge’s finding that </w:t>
      </w:r>
      <w:r w:rsidR="00F83C40">
        <w:t>respondent did not commingle his personal and client funds when he attempted to deposit a check from Kasik</w:t>
      </w:r>
      <w:r w:rsidR="0095465C">
        <w:t xml:space="preserve"> into the CTA.  Since Kasik’s</w:t>
      </w:r>
      <w:r w:rsidR="001E28FC">
        <w:t xml:space="preserve"> check was dishonored, there was no actual money </w:t>
      </w:r>
      <w:r w:rsidR="0095465C">
        <w:t xml:space="preserve">to commingle with client funds.  (See </w:t>
      </w:r>
      <w:r w:rsidR="0095465C" w:rsidRPr="0095465C">
        <w:rPr>
          <w:i/>
        </w:rPr>
        <w:t>Vaughn v. State Bar</w:t>
      </w:r>
      <w:r w:rsidR="0095465C">
        <w:t xml:space="preserve"> (1972) 6 Cal.</w:t>
      </w:r>
      <w:r w:rsidR="00874A40">
        <w:t>3d 847, 858</w:t>
      </w:r>
      <w:r w:rsidR="0095465C">
        <w:t xml:space="preserve"> [</w:t>
      </w:r>
      <w:r w:rsidR="003B03BE">
        <w:t>attorney violates rule against commingling of funds “merely by the attorney’s commingling of his c</w:t>
      </w:r>
      <w:r w:rsidR="00AE3173">
        <w:t xml:space="preserve">lient’s money with his own”].) </w:t>
      </w:r>
    </w:p>
    <w:p w:rsidR="002847DA" w:rsidRPr="002847DA" w:rsidRDefault="002847DA" w:rsidP="002847DA">
      <w:pPr>
        <w:spacing w:line="480" w:lineRule="auto"/>
        <w:jc w:val="center"/>
        <w:rPr>
          <w:b/>
        </w:rPr>
      </w:pPr>
      <w:r w:rsidRPr="002847DA">
        <w:rPr>
          <w:b/>
        </w:rPr>
        <w:t>I</w:t>
      </w:r>
      <w:r w:rsidR="00054F23">
        <w:rPr>
          <w:b/>
        </w:rPr>
        <w:t>V</w:t>
      </w:r>
      <w:r w:rsidRPr="002847DA">
        <w:rPr>
          <w:b/>
        </w:rPr>
        <w:t>.</w:t>
      </w:r>
      <w:r>
        <w:rPr>
          <w:b/>
        </w:rPr>
        <w:t xml:space="preserve">  </w:t>
      </w:r>
      <w:r w:rsidR="00241720">
        <w:rPr>
          <w:b/>
        </w:rPr>
        <w:t>MITIGATION AND AGGRAVATION</w:t>
      </w:r>
    </w:p>
    <w:p w:rsidR="00241720" w:rsidRDefault="00AE3173" w:rsidP="00AE3173">
      <w:pPr>
        <w:spacing w:line="480" w:lineRule="auto"/>
        <w:ind w:firstLine="720"/>
      </w:pPr>
      <w:r>
        <w:t xml:space="preserve">The primary purpose of these disciplinary proceedings is not to punish but to protect the public, the courts, and the legal profession.  (Std. 1.3; </w:t>
      </w:r>
      <w:r>
        <w:rPr>
          <w:i/>
          <w:iCs/>
        </w:rPr>
        <w:t>Bach v. State Bar</w:t>
      </w:r>
      <w:r>
        <w:t xml:space="preserve"> (1987) 43 Cal.3d 848, 856</w:t>
      </w:r>
      <w:r w:rsidR="00874A40">
        <w:t>-857</w:t>
      </w:r>
      <w:r>
        <w:t>.)  No fixed formula applies in determining the appropriate level of discipline.  (</w:t>
      </w:r>
      <w:r>
        <w:rPr>
          <w:i/>
          <w:iCs/>
        </w:rPr>
        <w:t>In the Matter of Brimberry</w:t>
      </w:r>
      <w:r>
        <w:t xml:space="preserve"> (Review Dept. 1995) 3 Cal. State Bar Ct. Rptr. 390, 403.)  Rather, we determine the appropriate discipline in light of all relevant circumstances, including mitigating and aggravating circumstances.  (</w:t>
      </w:r>
      <w:r>
        <w:rPr>
          <w:i/>
          <w:iCs/>
        </w:rPr>
        <w:t>Gary v. State Bar</w:t>
      </w:r>
      <w:r>
        <w:t xml:space="preserve"> (1988) 44 Cal.3d 820, 828.)</w:t>
      </w:r>
    </w:p>
    <w:p w:rsidR="00AE3173" w:rsidRDefault="00AE3173" w:rsidP="00AE3173">
      <w:pPr>
        <w:pStyle w:val="Heading1"/>
        <w:spacing w:before="0" w:line="480" w:lineRule="auto"/>
      </w:pPr>
      <w:r>
        <w:t>A.  Mitigation</w:t>
      </w:r>
    </w:p>
    <w:p w:rsidR="00204647" w:rsidRDefault="00AE3173" w:rsidP="00603921">
      <w:pPr>
        <w:spacing w:line="480" w:lineRule="auto"/>
      </w:pPr>
      <w:r>
        <w:tab/>
      </w:r>
      <w:r w:rsidR="007E73FF">
        <w:t>In mitigation, the parties stipulated to the following:</w:t>
      </w:r>
      <w:r w:rsidR="005C365E">
        <w:t xml:space="preserve">  </w:t>
      </w:r>
      <w:r w:rsidR="000F63A5">
        <w:t xml:space="preserve">1) </w:t>
      </w:r>
      <w:r w:rsidR="007E73FF">
        <w:t>respondent’s</w:t>
      </w:r>
      <w:r>
        <w:t xml:space="preserve"> lack of a prior discipline record in 24 years of practice at the time of his misconduct in 2005</w:t>
      </w:r>
      <w:r w:rsidR="000F7704">
        <w:t xml:space="preserve"> (std. 1.2(e)(i)</w:t>
      </w:r>
      <w:r w:rsidR="00603921">
        <w:t>)</w:t>
      </w:r>
      <w:r w:rsidR="007E73FF">
        <w:t xml:space="preserve">; </w:t>
      </w:r>
      <w:r w:rsidR="00204647">
        <w:t xml:space="preserve">    </w:t>
      </w:r>
      <w:r w:rsidR="000F63A5">
        <w:t>2)</w:t>
      </w:r>
      <w:r w:rsidR="007720E7">
        <w:t xml:space="preserve"> respondent’s</w:t>
      </w:r>
      <w:r w:rsidR="00E550C1">
        <w:t xml:space="preserve"> cooperation with the State Bar</w:t>
      </w:r>
      <w:r w:rsidR="008F11FC">
        <w:t xml:space="preserve"> in reaching a stipulation</w:t>
      </w:r>
      <w:r w:rsidR="00603921">
        <w:t xml:space="preserve"> (std. 1.2(e)(v)</w:t>
      </w:r>
      <w:r w:rsidR="007E73FF">
        <w:t xml:space="preserve">); and </w:t>
      </w:r>
    </w:p>
    <w:p w:rsidR="00353AB8" w:rsidRDefault="007E73FF" w:rsidP="00603921">
      <w:pPr>
        <w:spacing w:line="480" w:lineRule="auto"/>
      </w:pPr>
      <w:r>
        <w:lastRenderedPageBreak/>
        <w:t xml:space="preserve">3) </w:t>
      </w:r>
      <w:r w:rsidR="00204647">
        <w:t xml:space="preserve">the client received her funds because the </w:t>
      </w:r>
      <w:r>
        <w:t>bank honor</w:t>
      </w:r>
      <w:r w:rsidR="00204647">
        <w:t>ed</w:t>
      </w:r>
      <w:r>
        <w:t xml:space="preserve"> the </w:t>
      </w:r>
      <w:r w:rsidR="00204647">
        <w:t xml:space="preserve">NSF </w:t>
      </w:r>
      <w:r>
        <w:t>check</w:t>
      </w:r>
      <w:r w:rsidR="008D085E">
        <w:t xml:space="preserve">.  </w:t>
      </w:r>
      <w:r w:rsidR="00045873">
        <w:t>W</w:t>
      </w:r>
      <w:r>
        <w:t xml:space="preserve">e agree that respondent’s lack of a prior discipline record in 24 years </w:t>
      </w:r>
      <w:r w:rsidR="00353AB8">
        <w:t xml:space="preserve">of practice </w:t>
      </w:r>
      <w:r>
        <w:t xml:space="preserve">is a </w:t>
      </w:r>
      <w:r w:rsidR="00045873">
        <w:t xml:space="preserve">compelling mitigating factor, and we further agree that respondent’s candor and cooperation is entitled to mitigation.  However, </w:t>
      </w:r>
      <w:r w:rsidR="00353AB8">
        <w:t xml:space="preserve">based on the limited record before us, </w:t>
      </w:r>
      <w:r w:rsidR="00045873">
        <w:t xml:space="preserve">we see no </w:t>
      </w:r>
      <w:r w:rsidR="00353AB8">
        <w:t>justification</w:t>
      </w:r>
      <w:r w:rsidR="00045873">
        <w:t xml:space="preserve"> to provide mitigating credit to respondent for the bank’s decision to honor a NSF check</w:t>
      </w:r>
      <w:r w:rsidR="00353AB8">
        <w:t>.  Thus, while the client did receive her funds, we note that this was fortuitous since respondent paid the client with a NSF check.  Under the circumstances, we decline to reward such negligent behavior by an attorney.</w:t>
      </w:r>
    </w:p>
    <w:p w:rsidR="0079306E" w:rsidRDefault="005953C5" w:rsidP="00603921">
      <w:pPr>
        <w:spacing w:line="480" w:lineRule="auto"/>
      </w:pPr>
      <w:r>
        <w:tab/>
        <w:t xml:space="preserve">As discussed </w:t>
      </w:r>
      <w:r w:rsidRPr="005953C5">
        <w:rPr>
          <w:i/>
        </w:rPr>
        <w:t>ante</w:t>
      </w:r>
      <w:r>
        <w:t xml:space="preserve">, neither respondent’s wife’s medical records nor the couple’s bankruptcy petition was </w:t>
      </w:r>
      <w:r w:rsidR="00874A40">
        <w:t xml:space="preserve">properly </w:t>
      </w:r>
      <w:r>
        <w:t xml:space="preserve">included in the record below.  Since such evidence was never properly admitted, the hearing judge erred by considering the evidence in mitigation.  </w:t>
      </w:r>
      <w:r w:rsidR="00AE5F42">
        <w:t>Accordingly, without such evidence, respondent failed to meet his burden of establishing that his financial and emotional difficulties are mitigating circumstances.  (Std. 1.2(e)</w:t>
      </w:r>
      <w:r w:rsidR="00D2614D">
        <w:t>(iv)</w:t>
      </w:r>
      <w:r w:rsidR="00AE5F42">
        <w:t xml:space="preserve">; </w:t>
      </w:r>
      <w:r w:rsidR="00AE5F42">
        <w:rPr>
          <w:i/>
        </w:rPr>
        <w:t>In the Matter of Taggart</w:t>
      </w:r>
      <w:r w:rsidR="00AE5F42">
        <w:t xml:space="preserve"> (Review Dept. 2001) 4 Cal. Sta</w:t>
      </w:r>
      <w:r w:rsidR="00271CC0">
        <w:t>te Bar Ct. Rptr. 302, 311</w:t>
      </w:r>
      <w:r w:rsidR="00353AB8">
        <w:t xml:space="preserve"> </w:t>
      </w:r>
      <w:r w:rsidR="00271CC0">
        <w:t>[</w:t>
      </w:r>
      <w:r w:rsidR="00AE5F42">
        <w:t xml:space="preserve">respondent’s burden to establish mitigating circumstances by clear and convincing evidence].) </w:t>
      </w:r>
      <w:r>
        <w:t xml:space="preserve"> </w:t>
      </w:r>
    </w:p>
    <w:p w:rsidR="000C671C" w:rsidRDefault="000C671C" w:rsidP="00603921">
      <w:pPr>
        <w:spacing w:line="480" w:lineRule="auto"/>
      </w:pPr>
      <w:r>
        <w:tab/>
        <w:t xml:space="preserve">Finally, we reject the hearing judge’s finding that respondent was “extremely remorseful for his conduct” under standard 1.2(e)(vii).  Respondent did not testify at the evidentiary hearing and there is no other evidence to support this finding in mitigation. </w:t>
      </w:r>
    </w:p>
    <w:p w:rsidR="00603921" w:rsidRPr="00603921" w:rsidRDefault="00603921" w:rsidP="00603921">
      <w:pPr>
        <w:spacing w:line="480" w:lineRule="auto"/>
        <w:rPr>
          <w:b/>
        </w:rPr>
      </w:pPr>
      <w:r w:rsidRPr="00603921">
        <w:rPr>
          <w:b/>
        </w:rPr>
        <w:t>B.  Aggravation</w:t>
      </w:r>
    </w:p>
    <w:p w:rsidR="00ED09B2" w:rsidRDefault="00ED09B2" w:rsidP="00AE3173">
      <w:pPr>
        <w:spacing w:line="480" w:lineRule="auto"/>
      </w:pPr>
      <w:r>
        <w:tab/>
      </w:r>
      <w:r w:rsidR="003243A0">
        <w:t>We agree with the hearing judge’s determination that respondent committed multiple acts of wro</w:t>
      </w:r>
      <w:r w:rsidR="00603921">
        <w:t xml:space="preserve">ngdoing by withdrawing funds </w:t>
      </w:r>
      <w:r w:rsidR="00271CC0">
        <w:t xml:space="preserve">from the CTA </w:t>
      </w:r>
      <w:r w:rsidR="00603921">
        <w:t>for</w:t>
      </w:r>
      <w:r w:rsidR="003243A0">
        <w:t xml:space="preserve"> his personal use on four separate occasions</w:t>
      </w:r>
      <w:r w:rsidR="00DA714F">
        <w:t xml:space="preserve">, </w:t>
      </w:r>
      <w:r w:rsidR="003243A0">
        <w:t>commingling personal funds with the funds of his clients</w:t>
      </w:r>
      <w:r w:rsidR="00DA714F">
        <w:t>, and by failing to maintain any attorney-client trust account ledgers for his CTA</w:t>
      </w:r>
      <w:r w:rsidR="003243A0">
        <w:t xml:space="preserve">.  (Std. 1.2(b)(ii).)  </w:t>
      </w:r>
    </w:p>
    <w:p w:rsidR="003243A0" w:rsidRDefault="003243A0" w:rsidP="00AE3173">
      <w:pPr>
        <w:spacing w:line="480" w:lineRule="auto"/>
      </w:pPr>
      <w:r>
        <w:tab/>
        <w:t xml:space="preserve">Respondent stipulated to </w:t>
      </w:r>
      <w:r w:rsidR="00E236E8">
        <w:t xml:space="preserve">willfully violating rule 4-100(B)(3) by failing to maintain </w:t>
      </w:r>
      <w:r w:rsidR="00DA714F">
        <w:t xml:space="preserve">any </w:t>
      </w:r>
      <w:r w:rsidR="00E236E8">
        <w:t>CTA records or individual client ledgers.  We agree w</w:t>
      </w:r>
      <w:r w:rsidR="00983206">
        <w:t>ith the hearing judge</w:t>
      </w:r>
      <w:r w:rsidR="00397D65">
        <w:t>’s finding</w:t>
      </w:r>
      <w:r w:rsidR="00983206">
        <w:t xml:space="preserve"> that </w:t>
      </w:r>
      <w:r w:rsidR="00983206">
        <w:lastRenderedPageBreak/>
        <w:t>respondent’s admission to failing to maintain complete records of all funds</w:t>
      </w:r>
      <w:r w:rsidR="00397D65">
        <w:t xml:space="preserve"> in violation of rule 4-100(B)(3) </w:t>
      </w:r>
      <w:r w:rsidR="00983206">
        <w:t xml:space="preserve">is uncharged misconduct </w:t>
      </w:r>
      <w:r w:rsidR="00B44417">
        <w:t>in aggravation.  (</w:t>
      </w:r>
      <w:r w:rsidR="00DA714F">
        <w:t>Std. 1.2(b)(iii); s</w:t>
      </w:r>
      <w:r w:rsidR="00B44417">
        <w:t xml:space="preserve">ee </w:t>
      </w:r>
      <w:r w:rsidR="00B44417">
        <w:rPr>
          <w:i/>
        </w:rPr>
        <w:t>Edwards v. State Bar</w:t>
      </w:r>
      <w:r w:rsidR="00B44417">
        <w:t xml:space="preserve"> (1990) 52 Cal.3d 28, 35-36.)</w:t>
      </w:r>
    </w:p>
    <w:p w:rsidR="00C84B91" w:rsidRPr="00603921" w:rsidRDefault="00241720" w:rsidP="00241720">
      <w:pPr>
        <w:spacing w:line="480" w:lineRule="auto"/>
        <w:jc w:val="center"/>
        <w:rPr>
          <w:b/>
        </w:rPr>
      </w:pPr>
      <w:r>
        <w:rPr>
          <w:b/>
        </w:rPr>
        <w:t xml:space="preserve">V.  </w:t>
      </w:r>
      <w:r w:rsidRPr="00603921">
        <w:rPr>
          <w:b/>
        </w:rPr>
        <w:t>LEVEL OF DISCIPLINE</w:t>
      </w:r>
    </w:p>
    <w:p w:rsidR="00FF716C" w:rsidRDefault="00FF716C" w:rsidP="00FF716C">
      <w:pPr>
        <w:spacing w:line="480" w:lineRule="auto"/>
      </w:pPr>
      <w:r>
        <w:tab/>
        <w:t xml:space="preserve">Respondent is </w:t>
      </w:r>
      <w:r w:rsidR="0011161B">
        <w:t xml:space="preserve">culpable of the willful misappropriation of $2,200 of </w:t>
      </w:r>
      <w:r w:rsidR="002B78F4">
        <w:t xml:space="preserve">entrusted </w:t>
      </w:r>
      <w:r w:rsidR="0011161B">
        <w:t>client funds, aggravat</w:t>
      </w:r>
      <w:r w:rsidR="00B57131">
        <w:t>ed</w:t>
      </w:r>
      <w:r w:rsidR="0011161B">
        <w:t xml:space="preserve"> by his multiple acts of wrongdoing regarding his CTA and additional uncharged misconduct for failing to maintain any client or trust account records, and mitigated by </w:t>
      </w:r>
      <w:r w:rsidR="003177F3">
        <w:t xml:space="preserve">his </w:t>
      </w:r>
      <w:r w:rsidR="0011161B">
        <w:t xml:space="preserve">lack of a prior </w:t>
      </w:r>
      <w:r w:rsidR="00B57131">
        <w:t xml:space="preserve">discipline </w:t>
      </w:r>
      <w:r w:rsidR="003177F3">
        <w:t xml:space="preserve">record </w:t>
      </w:r>
      <w:r w:rsidR="00B57131">
        <w:t xml:space="preserve">in </w:t>
      </w:r>
      <w:r w:rsidR="0011161B">
        <w:t>24-years of practice and his candor and cooperation</w:t>
      </w:r>
      <w:r w:rsidR="00B57131">
        <w:t xml:space="preserve"> in this proceeding</w:t>
      </w:r>
      <w:r w:rsidR="0011161B">
        <w:t xml:space="preserve">.  </w:t>
      </w:r>
      <w:r>
        <w:t xml:space="preserve">On review, the State Bar argues that, although this is not a disbarment case, the mitigating circumstances are insufficient to justify a departure from the one-year minimum </w:t>
      </w:r>
      <w:r w:rsidR="0011161B">
        <w:t xml:space="preserve">actual suspension </w:t>
      </w:r>
      <w:r>
        <w:t>provided for under standard 2.2(a).  While we agree that this is not a disbarment case, we find that the mitigating circumstances do warrant a departure from the one-year actual suspension set forth in the standard.</w:t>
      </w:r>
    </w:p>
    <w:p w:rsidR="00743CB2" w:rsidRDefault="00C84B91" w:rsidP="00AE3173">
      <w:pPr>
        <w:spacing w:line="480" w:lineRule="auto"/>
        <w:rPr>
          <w:color w:val="000000"/>
        </w:rPr>
      </w:pPr>
      <w:r>
        <w:tab/>
      </w:r>
      <w:r w:rsidR="00D0592E">
        <w:t>Respondent’s</w:t>
      </w:r>
      <w:r w:rsidR="003177F3">
        <w:t xml:space="preserve"> most serious</w:t>
      </w:r>
      <w:r w:rsidR="00D0592E">
        <w:t xml:space="preserve"> misconduct involve</w:t>
      </w:r>
      <w:r w:rsidR="00603921">
        <w:t xml:space="preserve">d </w:t>
      </w:r>
      <w:r w:rsidR="007E2F9F">
        <w:t xml:space="preserve">misappropriation of client funds </w:t>
      </w:r>
      <w:r w:rsidR="00271CC0">
        <w:t>for which</w:t>
      </w:r>
      <w:r w:rsidR="00603921">
        <w:t xml:space="preserve"> t</w:t>
      </w:r>
      <w:r w:rsidR="00D0592E">
        <w:t>he applicable standards provide a range of discipline from actual suspension to disbarment.</w:t>
      </w:r>
      <w:r w:rsidR="007E2F9F">
        <w:rPr>
          <w:rStyle w:val="FootnoteReference"/>
        </w:rPr>
        <w:footnoteReference w:id="7"/>
      </w:r>
      <w:r w:rsidR="00D0592E">
        <w:t xml:space="preserve">  </w:t>
      </w:r>
      <w:r w:rsidR="007E2F9F">
        <w:t xml:space="preserve">The </w:t>
      </w:r>
      <w:r w:rsidR="003177F3">
        <w:t>relevant</w:t>
      </w:r>
      <w:r w:rsidR="007E2F9F">
        <w:t xml:space="preserve"> sanction is set forth in s</w:t>
      </w:r>
      <w:r w:rsidR="00D0592E">
        <w:t>tandard 2.2(a)</w:t>
      </w:r>
      <w:r w:rsidR="007E2F9F">
        <w:t>, which</w:t>
      </w:r>
      <w:r w:rsidR="00AF0CA0">
        <w:t xml:space="preserve"> provides that </w:t>
      </w:r>
      <w:r w:rsidR="00AF0CA0" w:rsidRPr="00AF0CA0">
        <w:t>wi</w:t>
      </w:r>
      <w:r w:rsidR="00AF0CA0">
        <w:t>l</w:t>
      </w:r>
      <w:r w:rsidR="00C87E4D">
        <w:t>lful misappropriation of entrusted funds</w:t>
      </w:r>
      <w:r w:rsidR="00AF0CA0" w:rsidRPr="00AF0CA0">
        <w:t xml:space="preserve"> shall result in disbarment unless </w:t>
      </w:r>
      <w:r w:rsidR="00C87E4D">
        <w:t xml:space="preserve">the amount is insignificantly small or </w:t>
      </w:r>
      <w:r w:rsidR="00AF0CA0" w:rsidRPr="00AF0CA0">
        <w:t>compelling mitigating circumstances predominate</w:t>
      </w:r>
      <w:r w:rsidR="00271CC0">
        <w:t>,</w:t>
      </w:r>
      <w:r w:rsidR="00AF0CA0" w:rsidRPr="00AF0CA0">
        <w:t xml:space="preserve"> in which case the discipline shall be not less than one year </w:t>
      </w:r>
      <w:r w:rsidR="00271CC0">
        <w:t xml:space="preserve">of </w:t>
      </w:r>
      <w:r w:rsidR="00AF0CA0" w:rsidRPr="00AF0CA0">
        <w:t>actua</w:t>
      </w:r>
      <w:r w:rsidR="00AF0CA0">
        <w:t>l suspension</w:t>
      </w:r>
      <w:r w:rsidR="00AF0CA0" w:rsidRPr="00AF0CA0">
        <w:t>.</w:t>
      </w:r>
      <w:r w:rsidR="00D913B2">
        <w:t xml:space="preserve">  </w:t>
      </w:r>
      <w:r w:rsidR="00B57131">
        <w:t>T</w:t>
      </w:r>
      <w:r w:rsidR="00654235">
        <w:t xml:space="preserve">he Supreme Court has </w:t>
      </w:r>
      <w:r w:rsidR="00E01F3D">
        <w:t>stated</w:t>
      </w:r>
      <w:r w:rsidR="00654235">
        <w:t xml:space="preserve"> that </w:t>
      </w:r>
      <w:r w:rsidR="00B57131">
        <w:t>the standard</w:t>
      </w:r>
      <w:r w:rsidR="00654235">
        <w:t xml:space="preserve"> “</w:t>
      </w:r>
      <w:r w:rsidR="0038709F">
        <w:t xml:space="preserve">correctly </w:t>
      </w:r>
      <w:r w:rsidR="00654235">
        <w:t xml:space="preserve">recognizes that willful misappropriation is grave misconduct for </w:t>
      </w:r>
      <w:r w:rsidR="00654235">
        <w:lastRenderedPageBreak/>
        <w:t xml:space="preserve">which disbarment </w:t>
      </w:r>
      <w:r w:rsidR="00E30379">
        <w:t>is the usual form of discipline</w:t>
      </w:r>
      <w:r w:rsidR="00FC6A5A">
        <w:t>.</w:t>
      </w:r>
      <w:r w:rsidR="00E01F3D">
        <w:t xml:space="preserve">”  </w:t>
      </w:r>
      <w:r w:rsidR="00E01F3D" w:rsidRPr="00E8748B">
        <w:t>(</w:t>
      </w:r>
      <w:hyperlink r:id="rId8" w:tgtFrame="_top" w:history="1">
        <w:r w:rsidR="00E01F3D" w:rsidRPr="00E8748B">
          <w:rPr>
            <w:i/>
          </w:rPr>
          <w:t>Edwards v. State Bar</w:t>
        </w:r>
        <w:r w:rsidR="00874A40">
          <w:rPr>
            <w:i/>
          </w:rPr>
          <w:t>, supra,</w:t>
        </w:r>
        <w:r w:rsidR="00874A40">
          <w:t xml:space="preserve"> 52 Cal.3d at p. 38</w:t>
        </w:r>
      </w:hyperlink>
      <w:r w:rsidR="00E01F3D">
        <w:rPr>
          <w:color w:val="000000"/>
        </w:rPr>
        <w:t xml:space="preserve">.)  However, </w:t>
      </w:r>
      <w:r w:rsidR="00D913B2">
        <w:rPr>
          <w:color w:val="000000"/>
        </w:rPr>
        <w:t xml:space="preserve">to the extent the standard suggests that </w:t>
      </w:r>
      <w:r w:rsidR="00A63842">
        <w:rPr>
          <w:color w:val="000000"/>
        </w:rPr>
        <w:t xml:space="preserve">a one-year actual suspension must </w:t>
      </w:r>
      <w:r w:rsidR="00EC29BF">
        <w:rPr>
          <w:color w:val="000000"/>
        </w:rPr>
        <w:t>“</w:t>
      </w:r>
      <w:r w:rsidR="00E01F3D">
        <w:t>invariably be imposed,</w:t>
      </w:r>
      <w:r w:rsidR="00B57131">
        <w:t xml:space="preserve"> </w:t>
      </w:r>
      <w:r w:rsidR="00E01F3D">
        <w:t xml:space="preserve">the standard is not faithful to the </w:t>
      </w:r>
      <w:r w:rsidR="00E01F3D">
        <w:rPr>
          <w:color w:val="000000"/>
        </w:rPr>
        <w:t>teachings of [the] court’s decisions.  [Citation.]”</w:t>
      </w:r>
      <w:r w:rsidR="00874A40">
        <w:rPr>
          <w:color w:val="000000"/>
        </w:rPr>
        <w:t xml:space="preserve">  (</w:t>
      </w:r>
      <w:r w:rsidR="007D193E">
        <w:rPr>
          <w:i/>
          <w:color w:val="000000"/>
        </w:rPr>
        <w:t>Ibid</w:t>
      </w:r>
      <w:r w:rsidR="00874A40">
        <w:rPr>
          <w:i/>
          <w:color w:val="000000"/>
        </w:rPr>
        <w:t>.</w:t>
      </w:r>
      <w:r w:rsidR="00874A40">
        <w:rPr>
          <w:color w:val="000000"/>
        </w:rPr>
        <w:t>)</w:t>
      </w:r>
      <w:r w:rsidR="00E01F3D">
        <w:rPr>
          <w:color w:val="000000"/>
        </w:rPr>
        <w:t xml:space="preserve">  </w:t>
      </w:r>
      <w:r w:rsidR="00B57131">
        <w:rPr>
          <w:color w:val="000000"/>
        </w:rPr>
        <w:t>Rather, t</w:t>
      </w:r>
      <w:r w:rsidR="00E01F3D">
        <w:rPr>
          <w:color w:val="000000"/>
        </w:rPr>
        <w:t xml:space="preserve">he standard </w:t>
      </w:r>
      <w:r w:rsidR="002F3EAF">
        <w:rPr>
          <w:color w:val="000000"/>
        </w:rPr>
        <w:t>should be “regarded as a guideline, not an inflexible mandate.”  (</w:t>
      </w:r>
      <w:r w:rsidR="002F3EAF" w:rsidRPr="00654235">
        <w:rPr>
          <w:i/>
          <w:color w:val="000000"/>
        </w:rPr>
        <w:t>I</w:t>
      </w:r>
      <w:r w:rsidR="002F3EAF">
        <w:rPr>
          <w:i/>
          <w:color w:val="000000"/>
        </w:rPr>
        <w:t>bi</w:t>
      </w:r>
      <w:r w:rsidR="002F3EAF" w:rsidRPr="00654235">
        <w:rPr>
          <w:i/>
          <w:color w:val="000000"/>
        </w:rPr>
        <w:t>d</w:t>
      </w:r>
      <w:r w:rsidR="002F3EAF">
        <w:rPr>
          <w:color w:val="000000"/>
        </w:rPr>
        <w:t>.)</w:t>
      </w:r>
      <w:r w:rsidR="00FF716C">
        <w:rPr>
          <w:color w:val="000000"/>
        </w:rPr>
        <w:t xml:space="preserve">  </w:t>
      </w:r>
      <w:r w:rsidR="00874A6E">
        <w:rPr>
          <w:color w:val="000000"/>
        </w:rPr>
        <w:t>Thus</w:t>
      </w:r>
      <w:r w:rsidR="00FF716C">
        <w:rPr>
          <w:color w:val="000000"/>
        </w:rPr>
        <w:t xml:space="preserve">, in addition to the </w:t>
      </w:r>
      <w:r w:rsidR="00D913B2">
        <w:rPr>
          <w:color w:val="000000"/>
        </w:rPr>
        <w:t xml:space="preserve">relevant </w:t>
      </w:r>
      <w:r w:rsidR="00FF716C">
        <w:rPr>
          <w:color w:val="000000"/>
        </w:rPr>
        <w:t>standard, we look to prior cases for further guidance on the appropriate level of discipline</w:t>
      </w:r>
      <w:r w:rsidR="00D913B2">
        <w:rPr>
          <w:color w:val="000000"/>
        </w:rPr>
        <w:t xml:space="preserve"> in this case</w:t>
      </w:r>
      <w:r w:rsidR="00FF716C">
        <w:rPr>
          <w:color w:val="000000"/>
        </w:rPr>
        <w:t>.</w:t>
      </w:r>
      <w:r w:rsidR="003177F3">
        <w:rPr>
          <w:color w:val="000000"/>
        </w:rPr>
        <w:t xml:space="preserve">  (See </w:t>
      </w:r>
      <w:r w:rsidR="003177F3" w:rsidRPr="003177F3">
        <w:rPr>
          <w:i/>
          <w:color w:val="000000"/>
        </w:rPr>
        <w:t>Snyder v. State Bar</w:t>
      </w:r>
      <w:r w:rsidR="003177F3">
        <w:rPr>
          <w:color w:val="000000"/>
        </w:rPr>
        <w:t xml:space="preserve"> (1990) 49 Cal.3d 1302, 1310-1311.)</w:t>
      </w:r>
    </w:p>
    <w:p w:rsidR="00743CB2" w:rsidRDefault="00743CB2" w:rsidP="00743CB2">
      <w:pPr>
        <w:spacing w:line="480" w:lineRule="auto"/>
      </w:pPr>
      <w:r w:rsidRPr="00FF716C">
        <w:rPr>
          <w:rStyle w:val="documentbody1"/>
          <w:rFonts w:ascii="Times New Roman" w:hAnsi="Times New Roman"/>
          <w:bCs/>
          <w:iCs/>
          <w:color w:val="800080"/>
          <w:sz w:val="24"/>
          <w:szCs w:val="24"/>
        </w:rPr>
        <w:tab/>
      </w:r>
      <w:r w:rsidRPr="00FF716C">
        <w:rPr>
          <w:rStyle w:val="documentbody1"/>
          <w:rFonts w:ascii="Times New Roman" w:hAnsi="Times New Roman"/>
          <w:color w:val="000000"/>
          <w:sz w:val="24"/>
          <w:szCs w:val="24"/>
        </w:rPr>
        <w:t>I</w:t>
      </w:r>
      <w:r w:rsidRPr="00ED4C57">
        <w:rPr>
          <w:rStyle w:val="documentbody1"/>
          <w:rFonts w:ascii="Times New Roman" w:hAnsi="Times New Roman"/>
          <w:color w:val="000000"/>
          <w:sz w:val="24"/>
          <w:szCs w:val="24"/>
        </w:rPr>
        <w:t xml:space="preserve">n </w:t>
      </w:r>
      <w:r w:rsidRPr="00ED4C57">
        <w:rPr>
          <w:rStyle w:val="documentbody1"/>
          <w:rFonts w:ascii="Times New Roman" w:hAnsi="Times New Roman"/>
          <w:i/>
          <w:iCs/>
          <w:color w:val="000000"/>
          <w:sz w:val="24"/>
          <w:szCs w:val="24"/>
        </w:rPr>
        <w:t>Edwards v. State Bar, supra,</w:t>
      </w:r>
      <w:r w:rsidR="00417569">
        <w:rPr>
          <w:rStyle w:val="documentbody1"/>
          <w:rFonts w:ascii="Times New Roman" w:hAnsi="Times New Roman"/>
          <w:color w:val="000000"/>
          <w:sz w:val="24"/>
          <w:szCs w:val="24"/>
        </w:rPr>
        <w:t xml:space="preserve"> </w:t>
      </w:r>
      <w:r w:rsidR="00874A40">
        <w:rPr>
          <w:rStyle w:val="documentbody1"/>
          <w:rFonts w:ascii="Times New Roman" w:hAnsi="Times New Roman"/>
          <w:color w:val="000000"/>
          <w:sz w:val="24"/>
          <w:szCs w:val="24"/>
        </w:rPr>
        <w:t xml:space="preserve">52 Cal.3d 28, </w:t>
      </w:r>
      <w:r w:rsidR="00417569">
        <w:rPr>
          <w:rStyle w:val="documentbody1"/>
          <w:rFonts w:ascii="Times New Roman" w:hAnsi="Times New Roman"/>
          <w:color w:val="000000"/>
          <w:sz w:val="24"/>
          <w:szCs w:val="24"/>
        </w:rPr>
        <w:t>Edwards</w:t>
      </w:r>
      <w:r w:rsidR="001072AD">
        <w:rPr>
          <w:rStyle w:val="documentbody1"/>
          <w:rFonts w:ascii="Times New Roman" w:hAnsi="Times New Roman"/>
          <w:color w:val="000000"/>
          <w:sz w:val="24"/>
          <w:szCs w:val="24"/>
        </w:rPr>
        <w:t xml:space="preserve"> was culpable of </w:t>
      </w:r>
      <w:r w:rsidRPr="00ED4C57">
        <w:rPr>
          <w:rStyle w:val="documentbody1"/>
          <w:rFonts w:ascii="Times New Roman" w:hAnsi="Times New Roman"/>
          <w:color w:val="000000"/>
          <w:sz w:val="24"/>
          <w:szCs w:val="24"/>
        </w:rPr>
        <w:t xml:space="preserve">willful misappropriation of </w:t>
      </w:r>
      <w:r>
        <w:rPr>
          <w:rStyle w:val="documentbody1"/>
          <w:rFonts w:ascii="Times New Roman" w:hAnsi="Times New Roman"/>
          <w:color w:val="000000"/>
          <w:sz w:val="24"/>
          <w:szCs w:val="24"/>
        </w:rPr>
        <w:t xml:space="preserve">$3,000 of a client’s settlement </w:t>
      </w:r>
      <w:r w:rsidRPr="00ED4C57">
        <w:rPr>
          <w:rStyle w:val="documentbody1"/>
          <w:rFonts w:ascii="Times New Roman" w:hAnsi="Times New Roman"/>
          <w:color w:val="000000"/>
          <w:sz w:val="24"/>
          <w:szCs w:val="24"/>
        </w:rPr>
        <w:t>funds</w:t>
      </w:r>
      <w:r w:rsidR="00417569">
        <w:rPr>
          <w:rStyle w:val="documentbody1"/>
          <w:rFonts w:ascii="Times New Roman" w:hAnsi="Times New Roman"/>
          <w:color w:val="000000"/>
          <w:sz w:val="24"/>
          <w:szCs w:val="24"/>
        </w:rPr>
        <w:t>.  Edwards’ residence was threatened with foreclosure so he wrote a check on his trust account to prevent the foreclosure.  Edwards knew that the funds did not belong to him and he subsequently reimbursed the account by depositing $3,000 of his own money</w:t>
      </w:r>
      <w:r w:rsidR="001072AD">
        <w:rPr>
          <w:rStyle w:val="documentbody1"/>
          <w:rFonts w:ascii="Times New Roman" w:hAnsi="Times New Roman"/>
          <w:color w:val="000000"/>
          <w:sz w:val="24"/>
          <w:szCs w:val="24"/>
        </w:rPr>
        <w:t>, but only after he had issued a NSF check to his client</w:t>
      </w:r>
      <w:r w:rsidR="00417569">
        <w:rPr>
          <w:rStyle w:val="documentbody1"/>
          <w:rFonts w:ascii="Times New Roman" w:hAnsi="Times New Roman"/>
          <w:color w:val="000000"/>
          <w:sz w:val="24"/>
          <w:szCs w:val="24"/>
        </w:rPr>
        <w:t>.  In a</w:t>
      </w:r>
      <w:r w:rsidR="001072AD">
        <w:rPr>
          <w:rStyle w:val="documentbody1"/>
          <w:rFonts w:ascii="Times New Roman" w:hAnsi="Times New Roman"/>
          <w:color w:val="000000"/>
          <w:sz w:val="24"/>
          <w:szCs w:val="24"/>
        </w:rPr>
        <w:t>ggravation</w:t>
      </w:r>
      <w:r w:rsidR="00417569">
        <w:rPr>
          <w:rStyle w:val="documentbody1"/>
          <w:rFonts w:ascii="Times New Roman" w:hAnsi="Times New Roman"/>
          <w:color w:val="000000"/>
          <w:sz w:val="24"/>
          <w:szCs w:val="24"/>
        </w:rPr>
        <w:t>, Edwards failed to maintain trust account records</w:t>
      </w:r>
      <w:r w:rsidR="00B57131">
        <w:rPr>
          <w:rStyle w:val="documentbody1"/>
          <w:rFonts w:ascii="Times New Roman" w:hAnsi="Times New Roman"/>
          <w:color w:val="000000"/>
          <w:sz w:val="24"/>
          <w:szCs w:val="24"/>
        </w:rPr>
        <w:t>.  He also a</w:t>
      </w:r>
      <w:r w:rsidR="00417569">
        <w:rPr>
          <w:rStyle w:val="documentbody1"/>
          <w:rFonts w:ascii="Times New Roman" w:hAnsi="Times New Roman"/>
          <w:color w:val="000000"/>
          <w:sz w:val="24"/>
          <w:szCs w:val="24"/>
        </w:rPr>
        <w:t xml:space="preserve">dmitted </w:t>
      </w:r>
      <w:r w:rsidR="00B57131">
        <w:rPr>
          <w:rStyle w:val="documentbody1"/>
          <w:rFonts w:ascii="Times New Roman" w:hAnsi="Times New Roman"/>
          <w:color w:val="000000"/>
          <w:sz w:val="24"/>
          <w:szCs w:val="24"/>
        </w:rPr>
        <w:t>to “periodic commingling and periodic misappropriation of trust funds, including kiting client funds,” which supported a finding in aggravation that he engaged in “</w:t>
      </w:r>
      <w:r w:rsidR="00874A40">
        <w:rPr>
          <w:rStyle w:val="documentbody1"/>
          <w:rFonts w:ascii="Times New Roman" w:hAnsi="Times New Roman"/>
          <w:color w:val="000000"/>
          <w:sz w:val="24"/>
          <w:szCs w:val="24"/>
        </w:rPr>
        <w:t>‘</w:t>
      </w:r>
      <w:r w:rsidR="00B57131">
        <w:rPr>
          <w:rStyle w:val="documentbody1"/>
          <w:rFonts w:ascii="Times New Roman" w:hAnsi="Times New Roman"/>
          <w:color w:val="000000"/>
          <w:sz w:val="24"/>
          <w:szCs w:val="24"/>
        </w:rPr>
        <w:t>multiple acts of misappropriation</w:t>
      </w:r>
      <w:r w:rsidR="00874A40">
        <w:rPr>
          <w:rStyle w:val="documentbody1"/>
          <w:rFonts w:ascii="Times New Roman" w:hAnsi="Times New Roman"/>
          <w:color w:val="000000"/>
          <w:sz w:val="24"/>
          <w:szCs w:val="24"/>
        </w:rPr>
        <w:t>’</w:t>
      </w:r>
      <w:r w:rsidR="00B57131">
        <w:rPr>
          <w:rStyle w:val="documentbody1"/>
          <w:rFonts w:ascii="Times New Roman" w:hAnsi="Times New Roman"/>
          <w:color w:val="000000"/>
          <w:sz w:val="24"/>
          <w:szCs w:val="24"/>
        </w:rPr>
        <w:t>” under standard 1.2(b)(ii).</w:t>
      </w:r>
      <w:r w:rsidR="00B57131">
        <w:rPr>
          <w:rStyle w:val="FootnoteReference"/>
          <w:color w:val="000000"/>
        </w:rPr>
        <w:footnoteReference w:id="8"/>
      </w:r>
      <w:r w:rsidR="00B57131">
        <w:rPr>
          <w:rStyle w:val="documentbody1"/>
          <w:rFonts w:ascii="Times New Roman" w:hAnsi="Times New Roman"/>
          <w:color w:val="000000"/>
          <w:sz w:val="24"/>
          <w:szCs w:val="24"/>
        </w:rPr>
        <w:t xml:space="preserve">  </w:t>
      </w:r>
      <w:r w:rsidRPr="00ED4C57">
        <w:rPr>
          <w:rStyle w:val="documentbody1"/>
          <w:rFonts w:ascii="Times New Roman" w:hAnsi="Times New Roman"/>
          <w:color w:val="000000"/>
          <w:sz w:val="24"/>
          <w:szCs w:val="24"/>
        </w:rPr>
        <w:t>Mit</w:t>
      </w:r>
      <w:r w:rsidR="00E30379">
        <w:rPr>
          <w:rStyle w:val="documentbody1"/>
          <w:rFonts w:ascii="Times New Roman" w:hAnsi="Times New Roman"/>
          <w:color w:val="000000"/>
          <w:sz w:val="24"/>
          <w:szCs w:val="24"/>
        </w:rPr>
        <w:t>igating factors included</w:t>
      </w:r>
      <w:r w:rsidRPr="00ED4C57">
        <w:rPr>
          <w:rStyle w:val="documentbody1"/>
          <w:rFonts w:ascii="Times New Roman" w:hAnsi="Times New Roman"/>
          <w:color w:val="000000"/>
          <w:sz w:val="24"/>
          <w:szCs w:val="24"/>
        </w:rPr>
        <w:t xml:space="preserve"> full restitution</w:t>
      </w:r>
      <w:r w:rsidR="00E30379">
        <w:rPr>
          <w:rStyle w:val="documentbody1"/>
          <w:rFonts w:ascii="Times New Roman" w:hAnsi="Times New Roman"/>
          <w:color w:val="000000"/>
          <w:sz w:val="24"/>
          <w:szCs w:val="24"/>
        </w:rPr>
        <w:t xml:space="preserve"> three months after the misappropriation</w:t>
      </w:r>
      <w:r w:rsidR="00D2614D">
        <w:rPr>
          <w:rStyle w:val="documentbody1"/>
          <w:rFonts w:ascii="Times New Roman" w:hAnsi="Times New Roman"/>
          <w:color w:val="000000"/>
          <w:sz w:val="24"/>
          <w:szCs w:val="24"/>
        </w:rPr>
        <w:t>, a 12</w:t>
      </w:r>
      <w:r w:rsidRPr="00ED4C57">
        <w:rPr>
          <w:rStyle w:val="documentbody1"/>
          <w:rFonts w:ascii="Times New Roman" w:hAnsi="Times New Roman"/>
          <w:color w:val="000000"/>
          <w:sz w:val="24"/>
          <w:szCs w:val="24"/>
        </w:rPr>
        <w:t>-year clean record of practice</w:t>
      </w:r>
      <w:r w:rsidR="00D2614D">
        <w:rPr>
          <w:rStyle w:val="documentbody1"/>
          <w:rFonts w:ascii="Times New Roman" w:hAnsi="Times New Roman"/>
          <w:color w:val="000000"/>
          <w:sz w:val="24"/>
          <w:szCs w:val="24"/>
        </w:rPr>
        <w:t xml:space="preserve"> at the time of the misconduct</w:t>
      </w:r>
      <w:r w:rsidRPr="00ED4C57">
        <w:rPr>
          <w:rStyle w:val="documentbody1"/>
          <w:rFonts w:ascii="Times New Roman" w:hAnsi="Times New Roman"/>
          <w:color w:val="000000"/>
          <w:sz w:val="24"/>
          <w:szCs w:val="24"/>
        </w:rPr>
        <w:t>, and voluntary steps to imp</w:t>
      </w:r>
      <w:r>
        <w:rPr>
          <w:rStyle w:val="documentbody1"/>
          <w:rFonts w:ascii="Times New Roman" w:hAnsi="Times New Roman"/>
          <w:color w:val="000000"/>
          <w:sz w:val="24"/>
          <w:szCs w:val="24"/>
        </w:rPr>
        <w:t>r</w:t>
      </w:r>
      <w:r w:rsidRPr="00ED4C57">
        <w:rPr>
          <w:rStyle w:val="documentbody1"/>
          <w:rFonts w:ascii="Times New Roman" w:hAnsi="Times New Roman"/>
          <w:color w:val="000000"/>
          <w:sz w:val="24"/>
          <w:szCs w:val="24"/>
        </w:rPr>
        <w:t xml:space="preserve">ove his management of trust funds. </w:t>
      </w:r>
      <w:r w:rsidR="0085773B">
        <w:rPr>
          <w:rStyle w:val="documentbody1"/>
          <w:rFonts w:ascii="Times New Roman" w:hAnsi="Times New Roman"/>
          <w:color w:val="000000"/>
          <w:sz w:val="24"/>
          <w:szCs w:val="24"/>
        </w:rPr>
        <w:t xml:space="preserve"> </w:t>
      </w:r>
      <w:r w:rsidRPr="00ED4C57">
        <w:rPr>
          <w:rStyle w:val="documentbody1"/>
          <w:rFonts w:ascii="Times New Roman" w:hAnsi="Times New Roman"/>
          <w:color w:val="000000"/>
          <w:sz w:val="24"/>
          <w:szCs w:val="24"/>
        </w:rPr>
        <w:t>The Supreme Court r</w:t>
      </w:r>
      <w:r w:rsidR="000170DB">
        <w:rPr>
          <w:rStyle w:val="documentbody1"/>
          <w:rFonts w:ascii="Times New Roman" w:hAnsi="Times New Roman"/>
          <w:color w:val="000000"/>
          <w:sz w:val="24"/>
          <w:szCs w:val="24"/>
        </w:rPr>
        <w:t>ejected a</w:t>
      </w:r>
      <w:r w:rsidRPr="00ED4C57">
        <w:rPr>
          <w:rStyle w:val="documentbody1"/>
          <w:rFonts w:ascii="Times New Roman" w:hAnsi="Times New Roman"/>
          <w:color w:val="000000"/>
          <w:sz w:val="24"/>
          <w:szCs w:val="24"/>
        </w:rPr>
        <w:t xml:space="preserve"> re</w:t>
      </w:r>
      <w:r>
        <w:rPr>
          <w:rStyle w:val="documentbody1"/>
          <w:rFonts w:ascii="Times New Roman" w:hAnsi="Times New Roman"/>
          <w:color w:val="000000"/>
          <w:sz w:val="24"/>
          <w:szCs w:val="24"/>
        </w:rPr>
        <w:t>c</w:t>
      </w:r>
      <w:r w:rsidRPr="00ED4C57">
        <w:rPr>
          <w:rStyle w:val="documentbody1"/>
          <w:rFonts w:ascii="Times New Roman" w:hAnsi="Times New Roman"/>
          <w:color w:val="000000"/>
          <w:sz w:val="24"/>
          <w:szCs w:val="24"/>
        </w:rPr>
        <w:t>ommend</w:t>
      </w:r>
      <w:r w:rsidR="000170DB">
        <w:rPr>
          <w:rStyle w:val="documentbody1"/>
          <w:rFonts w:ascii="Times New Roman" w:hAnsi="Times New Roman"/>
          <w:color w:val="000000"/>
          <w:sz w:val="24"/>
          <w:szCs w:val="24"/>
        </w:rPr>
        <w:t>ation</w:t>
      </w:r>
      <w:r w:rsidRPr="00ED4C57">
        <w:rPr>
          <w:rStyle w:val="documentbody1"/>
          <w:rFonts w:ascii="Times New Roman" w:hAnsi="Times New Roman"/>
          <w:color w:val="000000"/>
          <w:sz w:val="24"/>
          <w:szCs w:val="24"/>
        </w:rPr>
        <w:t xml:space="preserve"> </w:t>
      </w:r>
      <w:r w:rsidR="000170DB">
        <w:rPr>
          <w:rStyle w:val="documentbody1"/>
          <w:rFonts w:ascii="Times New Roman" w:hAnsi="Times New Roman"/>
          <w:color w:val="000000"/>
          <w:sz w:val="24"/>
          <w:szCs w:val="24"/>
        </w:rPr>
        <w:t>of</w:t>
      </w:r>
      <w:r w:rsidR="001072AD">
        <w:rPr>
          <w:rStyle w:val="documentbody1"/>
          <w:rFonts w:ascii="Times New Roman" w:hAnsi="Times New Roman"/>
          <w:color w:val="000000"/>
          <w:sz w:val="24"/>
          <w:szCs w:val="24"/>
        </w:rPr>
        <w:t xml:space="preserve"> two</w:t>
      </w:r>
      <w:r w:rsidR="000170DB">
        <w:rPr>
          <w:rStyle w:val="documentbody1"/>
          <w:rFonts w:ascii="Times New Roman" w:hAnsi="Times New Roman"/>
          <w:color w:val="000000"/>
          <w:sz w:val="24"/>
          <w:szCs w:val="24"/>
        </w:rPr>
        <w:t xml:space="preserve"> </w:t>
      </w:r>
      <w:r w:rsidR="001072AD">
        <w:rPr>
          <w:rStyle w:val="documentbody1"/>
          <w:rFonts w:ascii="Times New Roman" w:hAnsi="Times New Roman"/>
          <w:color w:val="000000"/>
          <w:sz w:val="24"/>
          <w:szCs w:val="24"/>
        </w:rPr>
        <w:t>years</w:t>
      </w:r>
      <w:r w:rsidR="00874A40">
        <w:rPr>
          <w:rStyle w:val="documentbody1"/>
          <w:rFonts w:ascii="Times New Roman" w:hAnsi="Times New Roman"/>
          <w:color w:val="000000"/>
          <w:sz w:val="24"/>
          <w:szCs w:val="24"/>
        </w:rPr>
        <w:t>’</w:t>
      </w:r>
      <w:r w:rsidR="001072AD">
        <w:rPr>
          <w:rStyle w:val="documentbody1"/>
          <w:rFonts w:ascii="Times New Roman" w:hAnsi="Times New Roman"/>
          <w:color w:val="000000"/>
          <w:sz w:val="24"/>
          <w:szCs w:val="24"/>
        </w:rPr>
        <w:t xml:space="preserve"> </w:t>
      </w:r>
      <w:r w:rsidRPr="00ED4C57">
        <w:rPr>
          <w:rStyle w:val="documentbody1"/>
          <w:rFonts w:ascii="Times New Roman" w:hAnsi="Times New Roman"/>
          <w:color w:val="000000"/>
          <w:sz w:val="24"/>
          <w:szCs w:val="24"/>
        </w:rPr>
        <w:t xml:space="preserve">actual suspension in favor of </w:t>
      </w:r>
      <w:r w:rsidR="00EC3508">
        <w:rPr>
          <w:rStyle w:val="documentbody1"/>
          <w:rFonts w:ascii="Times New Roman" w:hAnsi="Times New Roman"/>
          <w:color w:val="000000"/>
          <w:sz w:val="24"/>
          <w:szCs w:val="24"/>
        </w:rPr>
        <w:t xml:space="preserve">a </w:t>
      </w:r>
      <w:r w:rsidRPr="00ED4C57">
        <w:rPr>
          <w:rStyle w:val="documentbody1"/>
          <w:rFonts w:ascii="Times New Roman" w:hAnsi="Times New Roman"/>
          <w:color w:val="000000"/>
          <w:sz w:val="24"/>
          <w:szCs w:val="24"/>
        </w:rPr>
        <w:t>one</w:t>
      </w:r>
      <w:r w:rsidR="00EC3508">
        <w:rPr>
          <w:rStyle w:val="documentbody1"/>
          <w:rFonts w:ascii="Times New Roman" w:hAnsi="Times New Roman"/>
          <w:color w:val="000000"/>
          <w:sz w:val="24"/>
          <w:szCs w:val="24"/>
        </w:rPr>
        <w:t>-</w:t>
      </w:r>
      <w:r w:rsidRPr="00ED4C57">
        <w:rPr>
          <w:rStyle w:val="documentbody1"/>
          <w:rFonts w:ascii="Times New Roman" w:hAnsi="Times New Roman"/>
          <w:color w:val="000000"/>
          <w:sz w:val="24"/>
          <w:szCs w:val="24"/>
        </w:rPr>
        <w:t>year</w:t>
      </w:r>
      <w:r w:rsidR="00874A40">
        <w:rPr>
          <w:rStyle w:val="documentbody1"/>
          <w:rFonts w:ascii="Times New Roman" w:hAnsi="Times New Roman"/>
          <w:color w:val="000000"/>
          <w:sz w:val="24"/>
          <w:szCs w:val="24"/>
        </w:rPr>
        <w:t xml:space="preserve"> actual</w:t>
      </w:r>
      <w:r w:rsidR="00EC3508">
        <w:rPr>
          <w:rStyle w:val="documentbody1"/>
          <w:rFonts w:ascii="Times New Roman" w:hAnsi="Times New Roman"/>
          <w:color w:val="000000"/>
          <w:sz w:val="24"/>
          <w:szCs w:val="24"/>
        </w:rPr>
        <w:t xml:space="preserve"> suspension</w:t>
      </w:r>
      <w:r w:rsidRPr="00ED4C57">
        <w:rPr>
          <w:rStyle w:val="documentbody1"/>
          <w:rFonts w:ascii="Times New Roman" w:hAnsi="Times New Roman"/>
          <w:color w:val="000000"/>
          <w:sz w:val="24"/>
          <w:szCs w:val="24"/>
        </w:rPr>
        <w:t>.</w:t>
      </w:r>
      <w:r w:rsidRPr="008B7E92">
        <w:rPr>
          <w:rStyle w:val="documentbody1"/>
          <w:rFonts w:ascii="Times New Roman" w:hAnsi="Times New Roman"/>
          <w:color w:val="000000" w:themeColor="text1"/>
          <w:sz w:val="24"/>
          <w:szCs w:val="24"/>
        </w:rPr>
        <w:t xml:space="preserve"> </w:t>
      </w:r>
      <w:r w:rsidR="0085773B">
        <w:rPr>
          <w:rStyle w:val="documentbody1"/>
          <w:rFonts w:ascii="Times New Roman" w:hAnsi="Times New Roman"/>
          <w:color w:val="000000" w:themeColor="text1"/>
          <w:sz w:val="24"/>
          <w:szCs w:val="24"/>
        </w:rPr>
        <w:t xml:space="preserve"> </w:t>
      </w:r>
      <w:hyperlink r:id="rId9" w:tgtFrame="_top" w:history="1">
        <w:r w:rsidRPr="008B7E92">
          <w:rPr>
            <w:rStyle w:val="Hyperlink"/>
            <w:color w:val="000000" w:themeColor="text1"/>
            <w:u w:val="none"/>
          </w:rPr>
          <w:t>(</w:t>
        </w:r>
        <w:r w:rsidRPr="008B7E92">
          <w:rPr>
            <w:rStyle w:val="Hyperlink"/>
            <w:i/>
            <w:iCs/>
            <w:color w:val="000000" w:themeColor="text1"/>
            <w:u w:val="none"/>
          </w:rPr>
          <w:t>Id.</w:t>
        </w:r>
        <w:r w:rsidRPr="008B7E92">
          <w:rPr>
            <w:rStyle w:val="Hyperlink"/>
            <w:color w:val="000000" w:themeColor="text1"/>
            <w:u w:val="none"/>
          </w:rPr>
          <w:t xml:space="preserve"> at pp. 38-39.)</w:t>
        </w:r>
      </w:hyperlink>
    </w:p>
    <w:p w:rsidR="00326D84" w:rsidRDefault="00654235" w:rsidP="00AE3173">
      <w:pPr>
        <w:spacing w:line="480" w:lineRule="auto"/>
        <w:rPr>
          <w:rStyle w:val="documentbody1"/>
          <w:rFonts w:ascii="Times New Roman" w:hAnsi="Times New Roman"/>
          <w:color w:val="000000"/>
          <w:sz w:val="24"/>
          <w:szCs w:val="24"/>
        </w:rPr>
      </w:pPr>
      <w:r>
        <w:rPr>
          <w:color w:val="000000"/>
        </w:rPr>
        <w:tab/>
        <w:t>I</w:t>
      </w:r>
      <w:r w:rsidR="005B74A8" w:rsidRPr="00ED4C57">
        <w:rPr>
          <w:rStyle w:val="documentbody1"/>
          <w:rFonts w:ascii="Times New Roman" w:hAnsi="Times New Roman"/>
          <w:color w:val="000000"/>
          <w:sz w:val="24"/>
          <w:szCs w:val="24"/>
        </w:rPr>
        <w:t xml:space="preserve">n </w:t>
      </w:r>
      <w:r w:rsidR="005B74A8" w:rsidRPr="00ED4C57">
        <w:rPr>
          <w:rStyle w:val="documentbody1"/>
          <w:rFonts w:ascii="Times New Roman" w:hAnsi="Times New Roman"/>
          <w:i/>
          <w:color w:val="000000"/>
          <w:sz w:val="24"/>
          <w:szCs w:val="24"/>
        </w:rPr>
        <w:t>Hipolito v. State Bar</w:t>
      </w:r>
      <w:r w:rsidR="005B74A8" w:rsidRPr="00ED4C57">
        <w:rPr>
          <w:rStyle w:val="documentbody1"/>
          <w:rFonts w:ascii="Times New Roman" w:hAnsi="Times New Roman"/>
          <w:color w:val="000000"/>
          <w:sz w:val="24"/>
          <w:szCs w:val="24"/>
        </w:rPr>
        <w:t xml:space="preserve"> (1989) 48 Cal.3d 621</w:t>
      </w:r>
      <w:r w:rsidR="005B74A8" w:rsidRPr="00ED4C57">
        <w:rPr>
          <w:rStyle w:val="documentbody1"/>
          <w:rFonts w:ascii="Times New Roman" w:hAnsi="Times New Roman"/>
          <w:i/>
          <w:iCs/>
          <w:color w:val="000000"/>
          <w:sz w:val="24"/>
          <w:szCs w:val="24"/>
        </w:rPr>
        <w:t>,</w:t>
      </w:r>
      <w:r w:rsidR="005B74A8">
        <w:rPr>
          <w:rStyle w:val="documentbody1"/>
          <w:rFonts w:ascii="Times New Roman" w:hAnsi="Times New Roman"/>
          <w:color w:val="000000"/>
          <w:sz w:val="24"/>
          <w:szCs w:val="24"/>
        </w:rPr>
        <w:t xml:space="preserve"> Hipolito </w:t>
      </w:r>
      <w:r w:rsidR="005B74A8" w:rsidRPr="00ED4C57">
        <w:rPr>
          <w:rStyle w:val="documentbody1"/>
          <w:rFonts w:ascii="Times New Roman" w:hAnsi="Times New Roman"/>
          <w:color w:val="000000"/>
          <w:sz w:val="24"/>
          <w:szCs w:val="24"/>
        </w:rPr>
        <w:t>misappropriated $2,000 from a client by depositing a settleme</w:t>
      </w:r>
      <w:r w:rsidR="005B74A8">
        <w:rPr>
          <w:rStyle w:val="documentbody1"/>
          <w:rFonts w:ascii="Times New Roman" w:hAnsi="Times New Roman"/>
          <w:color w:val="000000"/>
          <w:sz w:val="24"/>
          <w:szCs w:val="24"/>
        </w:rPr>
        <w:t>nt check in his general account</w:t>
      </w:r>
      <w:r w:rsidR="005B74A8" w:rsidRPr="00ED4C57">
        <w:rPr>
          <w:rStyle w:val="documentbody1"/>
          <w:rFonts w:ascii="Times New Roman" w:hAnsi="Times New Roman"/>
          <w:color w:val="000000"/>
          <w:sz w:val="24"/>
          <w:szCs w:val="24"/>
        </w:rPr>
        <w:t xml:space="preserve"> after tendering to the client a personal check for the cl</w:t>
      </w:r>
      <w:r w:rsidR="005B74A8">
        <w:rPr>
          <w:rStyle w:val="documentbody1"/>
          <w:rFonts w:ascii="Times New Roman" w:hAnsi="Times New Roman"/>
          <w:color w:val="000000"/>
          <w:sz w:val="24"/>
          <w:szCs w:val="24"/>
        </w:rPr>
        <w:t xml:space="preserve">ient's share of the settlement.  </w:t>
      </w:r>
      <w:r w:rsidR="005B74A8" w:rsidRPr="00ED4C57">
        <w:rPr>
          <w:rStyle w:val="documentbody1"/>
          <w:rFonts w:ascii="Times New Roman" w:hAnsi="Times New Roman"/>
          <w:color w:val="000000"/>
          <w:sz w:val="24"/>
          <w:szCs w:val="24"/>
        </w:rPr>
        <w:t xml:space="preserve">The </w:t>
      </w:r>
      <w:r w:rsidR="005B74A8">
        <w:rPr>
          <w:rStyle w:val="documentbody1"/>
          <w:rFonts w:ascii="Times New Roman" w:hAnsi="Times New Roman"/>
          <w:color w:val="000000"/>
          <w:sz w:val="24"/>
          <w:szCs w:val="24"/>
        </w:rPr>
        <w:t xml:space="preserve">bank returned the </w:t>
      </w:r>
      <w:r w:rsidR="005B74A8" w:rsidRPr="00ED4C57">
        <w:rPr>
          <w:rStyle w:val="documentbody1"/>
          <w:rFonts w:ascii="Times New Roman" w:hAnsi="Times New Roman"/>
          <w:color w:val="000000"/>
          <w:sz w:val="24"/>
          <w:szCs w:val="24"/>
        </w:rPr>
        <w:t xml:space="preserve">personal check for </w:t>
      </w:r>
      <w:r w:rsidR="005B74A8" w:rsidRPr="00ED4C57">
        <w:rPr>
          <w:rStyle w:val="documentbody1"/>
          <w:rFonts w:ascii="Times New Roman" w:hAnsi="Times New Roman"/>
          <w:color w:val="000000"/>
          <w:sz w:val="24"/>
          <w:szCs w:val="24"/>
        </w:rPr>
        <w:lastRenderedPageBreak/>
        <w:t>insufficient funds, and, as a result of severe fina</w:t>
      </w:r>
      <w:r w:rsidR="00FA2A3C">
        <w:rPr>
          <w:rStyle w:val="documentbody1"/>
          <w:rFonts w:ascii="Times New Roman" w:hAnsi="Times New Roman"/>
          <w:color w:val="000000"/>
          <w:sz w:val="24"/>
          <w:szCs w:val="24"/>
        </w:rPr>
        <w:t xml:space="preserve">ncial difficulties, </w:t>
      </w:r>
      <w:r w:rsidR="005B74A8">
        <w:rPr>
          <w:rStyle w:val="documentbody1"/>
          <w:rFonts w:ascii="Times New Roman" w:hAnsi="Times New Roman"/>
          <w:color w:val="000000"/>
          <w:sz w:val="24"/>
          <w:szCs w:val="24"/>
        </w:rPr>
        <w:t>Hipolito</w:t>
      </w:r>
      <w:r w:rsidR="005B74A8" w:rsidRPr="00ED4C57">
        <w:rPr>
          <w:rStyle w:val="documentbody1"/>
          <w:rFonts w:ascii="Times New Roman" w:hAnsi="Times New Roman"/>
          <w:color w:val="000000"/>
          <w:sz w:val="24"/>
          <w:szCs w:val="24"/>
        </w:rPr>
        <w:t xml:space="preserve"> was unable to make restitution promptly</w:t>
      </w:r>
      <w:r w:rsidR="005B74A8">
        <w:rPr>
          <w:rStyle w:val="documentbody1"/>
          <w:rFonts w:ascii="Times New Roman" w:hAnsi="Times New Roman"/>
          <w:color w:val="000000"/>
          <w:sz w:val="24"/>
          <w:szCs w:val="24"/>
        </w:rPr>
        <w:t>.</w:t>
      </w:r>
      <w:bookmarkStart w:id="7" w:name="SR;6841"/>
      <w:bookmarkEnd w:id="7"/>
      <w:r w:rsidR="008A6DA6">
        <w:rPr>
          <w:rStyle w:val="documentbody1"/>
          <w:rFonts w:ascii="Times New Roman" w:hAnsi="Times New Roman"/>
          <w:color w:val="000000"/>
          <w:sz w:val="24"/>
          <w:szCs w:val="24"/>
        </w:rPr>
        <w:t xml:space="preserve">  </w:t>
      </w:r>
      <w:r w:rsidR="005B74A8">
        <w:rPr>
          <w:rStyle w:val="documentbody1"/>
          <w:rFonts w:ascii="Times New Roman" w:hAnsi="Times New Roman"/>
          <w:color w:val="000000"/>
          <w:sz w:val="24"/>
          <w:szCs w:val="24"/>
        </w:rPr>
        <w:t>Additionally, Hipolito</w:t>
      </w:r>
      <w:r w:rsidR="005B74A8" w:rsidRPr="00ED4C57">
        <w:rPr>
          <w:rStyle w:val="documentbody1"/>
          <w:rFonts w:ascii="Times New Roman" w:hAnsi="Times New Roman"/>
          <w:color w:val="000000"/>
          <w:sz w:val="24"/>
          <w:szCs w:val="24"/>
        </w:rPr>
        <w:t xml:space="preserve"> was found culpable of abandonment </w:t>
      </w:r>
      <w:r w:rsidR="005B74A8">
        <w:rPr>
          <w:rStyle w:val="documentbody1"/>
          <w:rFonts w:ascii="Times New Roman" w:hAnsi="Times New Roman"/>
          <w:color w:val="000000"/>
          <w:sz w:val="24"/>
          <w:szCs w:val="24"/>
        </w:rPr>
        <w:t>i</w:t>
      </w:r>
      <w:r w:rsidR="005B74A8" w:rsidRPr="00ED4C57">
        <w:rPr>
          <w:rStyle w:val="documentbody1"/>
          <w:rFonts w:ascii="Times New Roman" w:hAnsi="Times New Roman"/>
          <w:color w:val="000000"/>
          <w:sz w:val="24"/>
          <w:szCs w:val="24"/>
        </w:rPr>
        <w:t xml:space="preserve">n a second </w:t>
      </w:r>
      <w:r w:rsidR="005B74A8">
        <w:rPr>
          <w:rStyle w:val="documentbody1"/>
          <w:rFonts w:ascii="Times New Roman" w:hAnsi="Times New Roman"/>
          <w:color w:val="000000"/>
          <w:sz w:val="24"/>
          <w:szCs w:val="24"/>
        </w:rPr>
        <w:t>matter involving another client</w:t>
      </w:r>
      <w:r w:rsidR="00E609AB">
        <w:rPr>
          <w:rStyle w:val="documentbody1"/>
          <w:rFonts w:ascii="Times New Roman" w:hAnsi="Times New Roman"/>
          <w:color w:val="000000"/>
          <w:sz w:val="24"/>
          <w:szCs w:val="24"/>
        </w:rPr>
        <w:t>, which “appears to have resulted from the same forces leading to the misappropriation, namely, [Hipolito’s] poor management skills</w:t>
      </w:r>
      <w:r w:rsidR="005B74A8" w:rsidRPr="005B74A8">
        <w:t>.</w:t>
      </w:r>
      <w:bookmarkStart w:id="8" w:name="SR;6862"/>
      <w:bookmarkEnd w:id="8"/>
      <w:r w:rsidR="00E609AB">
        <w:t>”  (</w:t>
      </w:r>
      <w:r w:rsidR="00E609AB" w:rsidRPr="00E609AB">
        <w:rPr>
          <w:i/>
        </w:rPr>
        <w:t>Id.</w:t>
      </w:r>
      <w:r w:rsidR="00E609AB">
        <w:t xml:space="preserve"> at p. 627, fn. 3.)</w:t>
      </w:r>
      <w:r w:rsidR="008A6DA6">
        <w:t xml:space="preserve">  </w:t>
      </w:r>
      <w:r w:rsidR="005B74A8" w:rsidRPr="00ED4C57">
        <w:rPr>
          <w:rStyle w:val="documentbody1"/>
          <w:rFonts w:ascii="Times New Roman" w:hAnsi="Times New Roman"/>
          <w:color w:val="000000"/>
          <w:sz w:val="24"/>
          <w:szCs w:val="24"/>
        </w:rPr>
        <w:t xml:space="preserve">In mitigation, the attorney demonstrated remorse, made restitution voluntarily as soon as he was able, </w:t>
      </w:r>
      <w:r w:rsidR="00797E66">
        <w:rPr>
          <w:rStyle w:val="documentbody1"/>
          <w:rFonts w:ascii="Times New Roman" w:hAnsi="Times New Roman"/>
          <w:color w:val="000000"/>
          <w:sz w:val="24"/>
          <w:szCs w:val="24"/>
        </w:rPr>
        <w:t xml:space="preserve">had no prior discipline during eight years of practice, </w:t>
      </w:r>
      <w:r w:rsidR="005265C0">
        <w:rPr>
          <w:rStyle w:val="documentbody1"/>
          <w:rFonts w:ascii="Times New Roman" w:hAnsi="Times New Roman"/>
          <w:color w:val="000000"/>
          <w:sz w:val="24"/>
          <w:szCs w:val="24"/>
        </w:rPr>
        <w:t xml:space="preserve">made an extraordinary demonstration of good character, </w:t>
      </w:r>
      <w:r w:rsidR="005B74A8" w:rsidRPr="00ED4C57">
        <w:rPr>
          <w:rStyle w:val="documentbody1"/>
          <w:rFonts w:ascii="Times New Roman" w:hAnsi="Times New Roman"/>
          <w:color w:val="000000"/>
          <w:sz w:val="24"/>
          <w:szCs w:val="24"/>
        </w:rPr>
        <w:t>and hired a management firm to prevent</w:t>
      </w:r>
      <w:r w:rsidR="005B74A8">
        <w:rPr>
          <w:rStyle w:val="documentbody1"/>
          <w:rFonts w:ascii="Times New Roman" w:hAnsi="Times New Roman"/>
          <w:color w:val="000000"/>
          <w:sz w:val="24"/>
          <w:szCs w:val="24"/>
        </w:rPr>
        <w:t xml:space="preserve"> his misconduct from recurring</w:t>
      </w:r>
      <w:r w:rsidR="00326D84">
        <w:rPr>
          <w:rStyle w:val="documentbody1"/>
          <w:rFonts w:ascii="Times New Roman" w:hAnsi="Times New Roman"/>
          <w:color w:val="000000"/>
          <w:sz w:val="24"/>
          <w:szCs w:val="24"/>
        </w:rPr>
        <w:t>, which the court found to be a “significant mitigating factor because it supports the conclusion that the public would be protected be a shorter period of actual suspension.”  (</w:t>
      </w:r>
      <w:r w:rsidR="00326D84" w:rsidRPr="00326D84">
        <w:rPr>
          <w:rStyle w:val="documentbody1"/>
          <w:rFonts w:ascii="Times New Roman" w:hAnsi="Times New Roman"/>
          <w:i/>
          <w:color w:val="000000"/>
          <w:sz w:val="24"/>
          <w:szCs w:val="24"/>
        </w:rPr>
        <w:t>Id</w:t>
      </w:r>
      <w:r w:rsidR="00326D84">
        <w:rPr>
          <w:rStyle w:val="documentbody1"/>
          <w:rFonts w:ascii="Times New Roman" w:hAnsi="Times New Roman"/>
          <w:color w:val="000000"/>
          <w:sz w:val="24"/>
          <w:szCs w:val="24"/>
        </w:rPr>
        <w:t>. at pp. 62</w:t>
      </w:r>
      <w:r w:rsidR="00E609AB">
        <w:rPr>
          <w:rStyle w:val="documentbody1"/>
          <w:rFonts w:ascii="Times New Roman" w:hAnsi="Times New Roman"/>
          <w:color w:val="000000"/>
          <w:sz w:val="24"/>
          <w:szCs w:val="24"/>
        </w:rPr>
        <w:t>6</w:t>
      </w:r>
      <w:r w:rsidR="00326D84">
        <w:rPr>
          <w:rStyle w:val="documentbody1"/>
          <w:rFonts w:ascii="Times New Roman" w:hAnsi="Times New Roman"/>
          <w:color w:val="000000"/>
          <w:sz w:val="24"/>
          <w:szCs w:val="24"/>
        </w:rPr>
        <w:t xml:space="preserve">-627.)  </w:t>
      </w:r>
      <w:r w:rsidR="00FA2A3C">
        <w:rPr>
          <w:rStyle w:val="documentbody1"/>
          <w:rFonts w:ascii="Times New Roman" w:hAnsi="Times New Roman"/>
          <w:color w:val="000000"/>
          <w:sz w:val="24"/>
          <w:szCs w:val="24"/>
        </w:rPr>
        <w:t xml:space="preserve">Concluding that </w:t>
      </w:r>
      <w:r w:rsidR="005B74A8">
        <w:rPr>
          <w:rStyle w:val="documentbody1"/>
          <w:rFonts w:ascii="Times New Roman" w:hAnsi="Times New Roman"/>
          <w:color w:val="000000"/>
          <w:sz w:val="24"/>
          <w:szCs w:val="24"/>
        </w:rPr>
        <w:t>Hipolito</w:t>
      </w:r>
      <w:r w:rsidR="00271CC0">
        <w:rPr>
          <w:rStyle w:val="documentbody1"/>
          <w:rFonts w:ascii="Times New Roman" w:hAnsi="Times New Roman"/>
          <w:color w:val="000000"/>
          <w:sz w:val="24"/>
          <w:szCs w:val="24"/>
        </w:rPr>
        <w:t>’s misconduct “</w:t>
      </w:r>
      <w:r w:rsidR="005B74A8" w:rsidRPr="00ED4C57">
        <w:rPr>
          <w:rStyle w:val="documentbody1"/>
          <w:rFonts w:ascii="Times New Roman" w:hAnsi="Times New Roman"/>
          <w:color w:val="000000"/>
          <w:sz w:val="24"/>
          <w:szCs w:val="24"/>
        </w:rPr>
        <w:t>stemmed from inexactitude and in</w:t>
      </w:r>
      <w:r w:rsidR="00271CC0">
        <w:rPr>
          <w:rStyle w:val="documentbody1"/>
          <w:rFonts w:ascii="Times New Roman" w:hAnsi="Times New Roman"/>
          <w:color w:val="000000"/>
          <w:sz w:val="24"/>
          <w:szCs w:val="24"/>
        </w:rPr>
        <w:t>solvency, not greed or venality”</w:t>
      </w:r>
      <w:r w:rsidR="005B74A8" w:rsidRPr="00ED4C57">
        <w:rPr>
          <w:rStyle w:val="documentbody1"/>
          <w:rFonts w:ascii="Times New Roman" w:hAnsi="Times New Roman"/>
          <w:color w:val="000000"/>
          <w:sz w:val="24"/>
          <w:szCs w:val="24"/>
        </w:rPr>
        <w:t xml:space="preserve"> </w:t>
      </w:r>
      <w:r w:rsidR="005B74A8">
        <w:rPr>
          <w:rStyle w:val="documentbody1"/>
          <w:rFonts w:ascii="Times New Roman" w:hAnsi="Times New Roman"/>
          <w:color w:val="000000"/>
          <w:sz w:val="24"/>
          <w:szCs w:val="24"/>
        </w:rPr>
        <w:t>(</w:t>
      </w:r>
      <w:r w:rsidR="00271CC0">
        <w:rPr>
          <w:rStyle w:val="documentbody1"/>
          <w:rFonts w:ascii="Times New Roman" w:hAnsi="Times New Roman"/>
          <w:i/>
          <w:color w:val="000000"/>
          <w:sz w:val="24"/>
          <w:szCs w:val="24"/>
        </w:rPr>
        <w:t>i</w:t>
      </w:r>
      <w:r w:rsidR="005B74A8" w:rsidRPr="008B7E92">
        <w:rPr>
          <w:rStyle w:val="documentbody1"/>
          <w:rFonts w:ascii="Times New Roman" w:hAnsi="Times New Roman"/>
          <w:i/>
          <w:color w:val="000000"/>
          <w:sz w:val="24"/>
          <w:szCs w:val="24"/>
        </w:rPr>
        <w:t>d</w:t>
      </w:r>
      <w:r w:rsidR="005B74A8" w:rsidRPr="00FA2A3C">
        <w:rPr>
          <w:rStyle w:val="documentbody1"/>
          <w:rFonts w:ascii="Times New Roman" w:hAnsi="Times New Roman"/>
          <w:i/>
          <w:color w:val="000000"/>
          <w:sz w:val="24"/>
          <w:szCs w:val="24"/>
        </w:rPr>
        <w:t>.</w:t>
      </w:r>
      <w:r w:rsidR="005B74A8">
        <w:rPr>
          <w:rStyle w:val="documentbody1"/>
          <w:rFonts w:ascii="Times New Roman" w:hAnsi="Times New Roman"/>
          <w:color w:val="000000"/>
          <w:sz w:val="24"/>
          <w:szCs w:val="24"/>
        </w:rPr>
        <w:t xml:space="preserve"> </w:t>
      </w:r>
      <w:r w:rsidR="005B74A8" w:rsidRPr="00FA2A3C">
        <w:rPr>
          <w:rStyle w:val="documentbody1"/>
          <w:rFonts w:ascii="Times New Roman" w:hAnsi="Times New Roman"/>
          <w:iCs/>
          <w:color w:val="000000"/>
          <w:sz w:val="24"/>
          <w:szCs w:val="24"/>
        </w:rPr>
        <w:t>at p. 628</w:t>
      </w:r>
      <w:r w:rsidR="005B74A8" w:rsidRPr="00874A40">
        <w:rPr>
          <w:rStyle w:val="documentbody1"/>
          <w:rFonts w:ascii="Times New Roman" w:hAnsi="Times New Roman"/>
          <w:iCs/>
          <w:color w:val="000000"/>
          <w:sz w:val="24"/>
          <w:szCs w:val="24"/>
        </w:rPr>
        <w:t>)</w:t>
      </w:r>
      <w:r w:rsidR="005B74A8" w:rsidRPr="00ED4C57">
        <w:rPr>
          <w:rStyle w:val="documentbody1"/>
          <w:rFonts w:ascii="Times New Roman" w:hAnsi="Times New Roman"/>
          <w:i/>
          <w:iCs/>
          <w:color w:val="000000"/>
          <w:sz w:val="24"/>
          <w:szCs w:val="24"/>
        </w:rPr>
        <w:t>,</w:t>
      </w:r>
      <w:bookmarkStart w:id="9" w:name="SR;6908"/>
      <w:bookmarkEnd w:id="9"/>
      <w:r w:rsidR="005B74A8" w:rsidRPr="00ED4C57">
        <w:rPr>
          <w:rStyle w:val="documentbody1"/>
          <w:rFonts w:ascii="Times New Roman" w:hAnsi="Times New Roman"/>
          <w:color w:val="000000"/>
          <w:sz w:val="24"/>
          <w:szCs w:val="24"/>
        </w:rPr>
        <w:t xml:space="preserve"> the Supreme Court </w:t>
      </w:r>
      <w:r w:rsidR="00874A6E">
        <w:rPr>
          <w:rStyle w:val="documentbody1"/>
          <w:rFonts w:ascii="Times New Roman" w:hAnsi="Times New Roman"/>
          <w:color w:val="000000"/>
          <w:sz w:val="24"/>
          <w:szCs w:val="24"/>
        </w:rPr>
        <w:t xml:space="preserve">declined to order disbarment and imposed </w:t>
      </w:r>
      <w:r w:rsidR="00326D84">
        <w:rPr>
          <w:rStyle w:val="documentbody1"/>
          <w:rFonts w:ascii="Times New Roman" w:hAnsi="Times New Roman"/>
          <w:color w:val="000000"/>
          <w:sz w:val="24"/>
          <w:szCs w:val="24"/>
        </w:rPr>
        <w:t xml:space="preserve">an </w:t>
      </w:r>
      <w:r w:rsidR="005B74A8" w:rsidRPr="00ED4C57">
        <w:rPr>
          <w:rStyle w:val="documentbody1"/>
          <w:rFonts w:ascii="Times New Roman" w:hAnsi="Times New Roman"/>
          <w:color w:val="000000"/>
          <w:sz w:val="24"/>
          <w:szCs w:val="24"/>
        </w:rPr>
        <w:t>actual suspension for one year.</w:t>
      </w:r>
    </w:p>
    <w:p w:rsidR="001357F2" w:rsidRDefault="005B74A8" w:rsidP="00AE3173">
      <w:pPr>
        <w:spacing w:line="480" w:lineRule="auto"/>
      </w:pPr>
      <w:r>
        <w:rPr>
          <w:rStyle w:val="documentbody1"/>
          <w:rFonts w:ascii="Times New Roman" w:hAnsi="Times New Roman"/>
          <w:color w:val="000000"/>
          <w:sz w:val="24"/>
          <w:szCs w:val="24"/>
        </w:rPr>
        <w:tab/>
      </w:r>
      <w:r w:rsidR="004924BE">
        <w:t xml:space="preserve">In </w:t>
      </w:r>
      <w:r w:rsidR="004924BE">
        <w:rPr>
          <w:i/>
        </w:rPr>
        <w:t>Howard v. State Bar</w:t>
      </w:r>
      <w:r w:rsidR="00C00363">
        <w:t xml:space="preserve"> (1990) 51 Cal.3d 215, the</w:t>
      </w:r>
      <w:r w:rsidR="00336C28">
        <w:rPr>
          <w:color w:val="000000"/>
        </w:rPr>
        <w:t xml:space="preserve"> </w:t>
      </w:r>
      <w:r w:rsidR="00336C28" w:rsidRPr="00336C28">
        <w:rPr>
          <w:color w:val="000000"/>
        </w:rPr>
        <w:t>Supreme Court imposed a six-month actual suspension instead of</w:t>
      </w:r>
      <w:r w:rsidR="00336C28">
        <w:rPr>
          <w:color w:val="000000"/>
        </w:rPr>
        <w:t xml:space="preserve"> the one-year actual suspension </w:t>
      </w:r>
      <w:r w:rsidR="00067461">
        <w:rPr>
          <w:color w:val="000000"/>
        </w:rPr>
        <w:t>provided for in</w:t>
      </w:r>
      <w:r w:rsidR="00336C28" w:rsidRPr="00336C28">
        <w:rPr>
          <w:color w:val="000000"/>
        </w:rPr>
        <w:t xml:space="preserve"> standard 2.2(a)</w:t>
      </w:r>
      <w:r w:rsidR="00336C28">
        <w:rPr>
          <w:color w:val="000000"/>
        </w:rPr>
        <w:t xml:space="preserve">.  In </w:t>
      </w:r>
      <w:r w:rsidR="00336C28" w:rsidRPr="00336C28">
        <w:rPr>
          <w:i/>
          <w:color w:val="000000"/>
        </w:rPr>
        <w:t>Howard</w:t>
      </w:r>
      <w:r w:rsidR="00336C28">
        <w:rPr>
          <w:color w:val="000000"/>
        </w:rPr>
        <w:t>, a</w:t>
      </w:r>
      <w:r w:rsidR="00874A6E">
        <w:rPr>
          <w:color w:val="000000"/>
        </w:rPr>
        <w:t>pproximately three</w:t>
      </w:r>
      <w:r w:rsidR="00336C28" w:rsidRPr="00336C28">
        <w:rPr>
          <w:color w:val="000000"/>
        </w:rPr>
        <w:t xml:space="preserve"> years after being admitted to practice law, Howard misappropriated approximately $1,300 from a client's personal injury settlement proceeds and failed to communicate with the client for approximately two months.</w:t>
      </w:r>
      <w:r w:rsidR="00305902">
        <w:rPr>
          <w:color w:val="000000"/>
        </w:rPr>
        <w:t xml:space="preserve"> </w:t>
      </w:r>
      <w:r w:rsidR="00336C28">
        <w:t xml:space="preserve"> </w:t>
      </w:r>
      <w:r w:rsidR="00BC3177">
        <w:t xml:space="preserve">There were no aggravating factors.  </w:t>
      </w:r>
      <w:r w:rsidR="00336C28">
        <w:t xml:space="preserve">The </w:t>
      </w:r>
      <w:r w:rsidR="00067461">
        <w:t>C</w:t>
      </w:r>
      <w:r w:rsidR="00336C28">
        <w:t xml:space="preserve">ourt noted that respondent was entitled to little </w:t>
      </w:r>
      <w:r w:rsidR="00BC3177">
        <w:t xml:space="preserve">weight in </w:t>
      </w:r>
      <w:r w:rsidR="00336C28">
        <w:t>mitigation for the t</w:t>
      </w:r>
      <w:r w:rsidR="00874A6E">
        <w:t>hre</w:t>
      </w:r>
      <w:r w:rsidR="00336C28">
        <w:t>e years she pra</w:t>
      </w:r>
      <w:r w:rsidR="00F03482">
        <w:t xml:space="preserve">cticed prior to her misconduct and for tendering restitution </w:t>
      </w:r>
      <w:r w:rsidR="00BC3177">
        <w:t xml:space="preserve">nine months later but </w:t>
      </w:r>
      <w:r w:rsidR="00F03482">
        <w:t xml:space="preserve">only upon service of a lawsuit.  </w:t>
      </w:r>
      <w:r w:rsidR="00BC3177">
        <w:t>A</w:t>
      </w:r>
      <w:r w:rsidR="00305902" w:rsidRPr="00336C28">
        <w:rPr>
          <w:color w:val="000000"/>
        </w:rPr>
        <w:t>cknowledg</w:t>
      </w:r>
      <w:r w:rsidR="00BC3177">
        <w:rPr>
          <w:color w:val="000000"/>
        </w:rPr>
        <w:t>ing</w:t>
      </w:r>
      <w:r w:rsidR="00305902" w:rsidRPr="00336C28">
        <w:rPr>
          <w:color w:val="000000"/>
        </w:rPr>
        <w:t xml:space="preserve"> the mandatory language of s</w:t>
      </w:r>
      <w:r w:rsidR="00BC3177">
        <w:rPr>
          <w:color w:val="000000"/>
        </w:rPr>
        <w:t>tandard 2.2(a), the Court explained that it is “not bound to follow the standards in talismanic fashion,” but is “permitted to temper the letter of the law with considerations peculiar to the offense and the offender.”  (</w:t>
      </w:r>
      <w:r w:rsidR="00BC3177" w:rsidRPr="00BC3177">
        <w:rPr>
          <w:i/>
          <w:color w:val="000000"/>
        </w:rPr>
        <w:t>Id</w:t>
      </w:r>
      <w:r w:rsidR="00BC3177">
        <w:rPr>
          <w:color w:val="000000"/>
        </w:rPr>
        <w:t xml:space="preserve">. at pp. 221-222.)  </w:t>
      </w:r>
      <w:r w:rsidR="00753081">
        <w:rPr>
          <w:color w:val="000000"/>
        </w:rPr>
        <w:t xml:space="preserve">The Court </w:t>
      </w:r>
      <w:r w:rsidR="00305902" w:rsidRPr="00336C28">
        <w:rPr>
          <w:color w:val="000000"/>
        </w:rPr>
        <w:t xml:space="preserve">determined that a six-month actual suspension was sufficient based upon Howard's </w:t>
      </w:r>
      <w:r w:rsidR="00753081">
        <w:rPr>
          <w:color w:val="000000"/>
        </w:rPr>
        <w:t xml:space="preserve">extensive expert and lay testimony </w:t>
      </w:r>
      <w:r w:rsidR="00305902" w:rsidRPr="00336C28">
        <w:rPr>
          <w:color w:val="000000"/>
        </w:rPr>
        <w:t xml:space="preserve">in mitigation that </w:t>
      </w:r>
      <w:r w:rsidR="00753081">
        <w:rPr>
          <w:color w:val="000000"/>
        </w:rPr>
        <w:t xml:space="preserve">established </w:t>
      </w:r>
      <w:r w:rsidR="00305902" w:rsidRPr="00336C28">
        <w:rPr>
          <w:color w:val="000000"/>
        </w:rPr>
        <w:lastRenderedPageBreak/>
        <w:t xml:space="preserve">she had lifelong psychological problems leading to drug and alcohol abuse </w:t>
      </w:r>
      <w:r w:rsidR="00753081">
        <w:rPr>
          <w:color w:val="000000"/>
        </w:rPr>
        <w:t xml:space="preserve">that contributed to her misconduct </w:t>
      </w:r>
      <w:r w:rsidR="00305902" w:rsidRPr="00336C28">
        <w:rPr>
          <w:color w:val="000000"/>
        </w:rPr>
        <w:t>and that she had been sober for approximately two and one-half years at the time of trial.</w:t>
      </w:r>
      <w:r w:rsidR="00753081">
        <w:rPr>
          <w:color w:val="000000"/>
        </w:rPr>
        <w:t xml:space="preserve">  Despite the single incident of misappropriation and the relatively small amount, the Court rejected the attorney’s request for a three-month suspension, noting that substantial discipline was necessary to “ensure continuing public faith in the fidelity of lawyers and in the practice of law as a vital service to clients and community.”</w:t>
      </w:r>
      <w:r w:rsidR="008D02D3">
        <w:rPr>
          <w:color w:val="000000"/>
        </w:rPr>
        <w:t xml:space="preserve">  (</w:t>
      </w:r>
      <w:r w:rsidR="008D02D3" w:rsidRPr="008D02D3">
        <w:rPr>
          <w:i/>
          <w:color w:val="000000"/>
        </w:rPr>
        <w:t>Id</w:t>
      </w:r>
      <w:r w:rsidR="008D02D3">
        <w:rPr>
          <w:color w:val="000000"/>
        </w:rPr>
        <w:t xml:space="preserve">. at </w:t>
      </w:r>
      <w:r w:rsidR="00874A40">
        <w:rPr>
          <w:color w:val="000000"/>
        </w:rPr>
        <w:t xml:space="preserve">p. </w:t>
      </w:r>
      <w:r w:rsidR="008D02D3">
        <w:rPr>
          <w:color w:val="000000"/>
        </w:rPr>
        <w:t>223.)</w:t>
      </w:r>
    </w:p>
    <w:p w:rsidR="008B7E92" w:rsidRPr="00305902" w:rsidRDefault="001357F2" w:rsidP="00AE3173">
      <w:pPr>
        <w:spacing w:line="480" w:lineRule="auto"/>
        <w:rPr>
          <w:color w:val="000000"/>
        </w:rPr>
      </w:pPr>
      <w:r>
        <w:tab/>
      </w:r>
      <w:bookmarkStart w:id="10" w:name="SR;6779"/>
      <w:bookmarkEnd w:id="10"/>
      <w:r w:rsidR="00ED4C57" w:rsidRPr="00ED4C57">
        <w:rPr>
          <w:rStyle w:val="documentbody1"/>
          <w:rFonts w:ascii="Times New Roman" w:hAnsi="Times New Roman"/>
          <w:color w:val="000000"/>
          <w:sz w:val="24"/>
          <w:szCs w:val="24"/>
        </w:rPr>
        <w:t>Subsequently, in</w:t>
      </w:r>
      <w:r w:rsidR="00FA2A3C">
        <w:rPr>
          <w:rStyle w:val="documentbody1"/>
          <w:rFonts w:ascii="Times New Roman" w:hAnsi="Times New Roman"/>
          <w:color w:val="000000"/>
          <w:sz w:val="24"/>
          <w:szCs w:val="24"/>
        </w:rPr>
        <w:t xml:space="preserve"> </w:t>
      </w:r>
      <w:r w:rsidR="00FA2A3C">
        <w:rPr>
          <w:rStyle w:val="documentbody1"/>
          <w:rFonts w:ascii="Times New Roman" w:hAnsi="Times New Roman"/>
          <w:i/>
          <w:color w:val="000000"/>
          <w:sz w:val="24"/>
          <w:szCs w:val="24"/>
        </w:rPr>
        <w:t>Bates v. State Bar</w:t>
      </w:r>
      <w:r w:rsidR="00FA2A3C">
        <w:rPr>
          <w:rStyle w:val="documentbody1"/>
          <w:rFonts w:ascii="Times New Roman" w:hAnsi="Times New Roman"/>
          <w:color w:val="000000"/>
          <w:sz w:val="24"/>
          <w:szCs w:val="24"/>
        </w:rPr>
        <w:t xml:space="preserve"> (1990) 51 Cal.3d 1056</w:t>
      </w:r>
      <w:r w:rsidR="00ED4C57" w:rsidRPr="008B7E92">
        <w:rPr>
          <w:rStyle w:val="documentbody1"/>
          <w:rFonts w:ascii="Times New Roman" w:hAnsi="Times New Roman"/>
          <w:color w:val="000000"/>
          <w:sz w:val="24"/>
          <w:szCs w:val="24"/>
        </w:rPr>
        <w:t>,</w:t>
      </w:r>
      <w:r w:rsidR="00ED4C57" w:rsidRPr="00ED4C57">
        <w:rPr>
          <w:rStyle w:val="documentbody1"/>
          <w:rFonts w:ascii="Times New Roman" w:hAnsi="Times New Roman"/>
          <w:color w:val="000000"/>
          <w:sz w:val="24"/>
          <w:szCs w:val="24"/>
        </w:rPr>
        <w:t xml:space="preserve"> the </w:t>
      </w:r>
      <w:r w:rsidR="00FA2A3C">
        <w:rPr>
          <w:rStyle w:val="documentbody1"/>
          <w:rFonts w:ascii="Times New Roman" w:hAnsi="Times New Roman"/>
          <w:color w:val="000000"/>
          <w:sz w:val="24"/>
          <w:szCs w:val="24"/>
        </w:rPr>
        <w:t>Supreme Court</w:t>
      </w:r>
      <w:r w:rsidR="00ED4C57" w:rsidRPr="00ED4C57">
        <w:rPr>
          <w:rStyle w:val="documentbody1"/>
          <w:rFonts w:ascii="Times New Roman" w:hAnsi="Times New Roman"/>
          <w:color w:val="000000"/>
          <w:sz w:val="24"/>
          <w:szCs w:val="24"/>
        </w:rPr>
        <w:t xml:space="preserve"> addressed another situation involving </w:t>
      </w:r>
      <w:r w:rsidR="00FA2A3C">
        <w:rPr>
          <w:rStyle w:val="documentbody1"/>
          <w:rFonts w:ascii="Times New Roman" w:hAnsi="Times New Roman"/>
          <w:color w:val="000000"/>
          <w:sz w:val="24"/>
          <w:szCs w:val="24"/>
        </w:rPr>
        <w:t xml:space="preserve">the </w:t>
      </w:r>
      <w:r w:rsidR="00ED4C57" w:rsidRPr="00ED4C57">
        <w:rPr>
          <w:rStyle w:val="documentbody1"/>
          <w:rFonts w:ascii="Times New Roman" w:hAnsi="Times New Roman"/>
          <w:color w:val="000000"/>
          <w:sz w:val="24"/>
          <w:szCs w:val="24"/>
        </w:rPr>
        <w:t>wil</w:t>
      </w:r>
      <w:r w:rsidR="00305902">
        <w:rPr>
          <w:rStyle w:val="documentbody1"/>
          <w:rFonts w:ascii="Times New Roman" w:hAnsi="Times New Roman"/>
          <w:color w:val="000000"/>
          <w:sz w:val="24"/>
          <w:szCs w:val="24"/>
        </w:rPr>
        <w:t>l</w:t>
      </w:r>
      <w:r w:rsidR="00ED4C57" w:rsidRPr="00ED4C57">
        <w:rPr>
          <w:rStyle w:val="documentbody1"/>
          <w:rFonts w:ascii="Times New Roman" w:hAnsi="Times New Roman"/>
          <w:color w:val="000000"/>
          <w:sz w:val="24"/>
          <w:szCs w:val="24"/>
        </w:rPr>
        <w:t xml:space="preserve">ful misappropriation of </w:t>
      </w:r>
      <w:r w:rsidR="00305902">
        <w:t xml:space="preserve">$1,229.75 of </w:t>
      </w:r>
      <w:r w:rsidR="00ED4C57" w:rsidRPr="00ED4C57">
        <w:rPr>
          <w:rStyle w:val="documentbody1"/>
          <w:rFonts w:ascii="Times New Roman" w:hAnsi="Times New Roman"/>
          <w:color w:val="000000"/>
          <w:sz w:val="24"/>
          <w:szCs w:val="24"/>
        </w:rPr>
        <w:t>client trust funds and misrepresentations to the client's n</w:t>
      </w:r>
      <w:r w:rsidR="00305902">
        <w:rPr>
          <w:rStyle w:val="documentbody1"/>
          <w:rFonts w:ascii="Times New Roman" w:hAnsi="Times New Roman"/>
          <w:color w:val="000000"/>
          <w:sz w:val="24"/>
          <w:szCs w:val="24"/>
        </w:rPr>
        <w:t>ew c</w:t>
      </w:r>
      <w:r w:rsidR="00FA2A3C">
        <w:rPr>
          <w:rStyle w:val="documentbody1"/>
          <w:rFonts w:ascii="Times New Roman" w:hAnsi="Times New Roman"/>
          <w:color w:val="000000"/>
          <w:sz w:val="24"/>
          <w:szCs w:val="24"/>
        </w:rPr>
        <w:t>ounsel regarding those</w:t>
      </w:r>
      <w:r w:rsidR="00305902">
        <w:rPr>
          <w:rStyle w:val="documentbody1"/>
          <w:rFonts w:ascii="Times New Roman" w:hAnsi="Times New Roman"/>
          <w:color w:val="000000"/>
          <w:sz w:val="24"/>
          <w:szCs w:val="24"/>
        </w:rPr>
        <w:t xml:space="preserve"> funds.  </w:t>
      </w:r>
      <w:r w:rsidR="00ED4C57" w:rsidRPr="00ED4C57">
        <w:rPr>
          <w:rStyle w:val="documentbody1"/>
          <w:rFonts w:ascii="Times New Roman" w:hAnsi="Times New Roman"/>
          <w:color w:val="000000"/>
          <w:sz w:val="24"/>
          <w:szCs w:val="24"/>
        </w:rPr>
        <w:t xml:space="preserve">This misconduct was aggravated by </w:t>
      </w:r>
      <w:r w:rsidR="00305902">
        <w:rPr>
          <w:rStyle w:val="documentbody1"/>
          <w:rFonts w:ascii="Times New Roman" w:hAnsi="Times New Roman"/>
          <w:color w:val="000000"/>
          <w:sz w:val="24"/>
          <w:szCs w:val="24"/>
        </w:rPr>
        <w:t xml:space="preserve">Bates’ </w:t>
      </w:r>
      <w:r w:rsidR="00305902">
        <w:t xml:space="preserve">refusal to make restitution of the misappropriated funds until after the State Bar referee issued a decision.  In addition to the attorney’s 14 years of practice prior to his misconduct and the testimony demonstrating respondent’s reputation in the legal community for competence and integrity, the </w:t>
      </w:r>
      <w:r w:rsidR="007C6323">
        <w:t>c</w:t>
      </w:r>
      <w:r w:rsidR="00305902">
        <w:t xml:space="preserve">ourt found the attorney’s </w:t>
      </w:r>
      <w:r w:rsidR="002E3DBE">
        <w:t xml:space="preserve">recovery from </w:t>
      </w:r>
      <w:r w:rsidR="00305902">
        <w:t>alcoholism was a significant factor in mitigation.</w:t>
      </w:r>
      <w:r w:rsidR="00305902">
        <w:rPr>
          <w:rStyle w:val="documentbody1"/>
          <w:rFonts w:ascii="Times New Roman" w:hAnsi="Times New Roman"/>
          <w:color w:val="000000"/>
          <w:sz w:val="24"/>
          <w:szCs w:val="24"/>
        </w:rPr>
        <w:t xml:space="preserve">  T</w:t>
      </w:r>
      <w:r w:rsidR="00ED4C57" w:rsidRPr="00ED4C57">
        <w:rPr>
          <w:rStyle w:val="documentbody1"/>
          <w:rFonts w:ascii="Times New Roman" w:hAnsi="Times New Roman"/>
          <w:color w:val="000000"/>
          <w:sz w:val="24"/>
          <w:szCs w:val="24"/>
        </w:rPr>
        <w:t>he Supreme Court approved the recommendation of three years</w:t>
      </w:r>
      <w:r w:rsidR="007C6323">
        <w:rPr>
          <w:rStyle w:val="documentbody1"/>
          <w:rFonts w:ascii="Times New Roman" w:hAnsi="Times New Roman"/>
          <w:color w:val="000000"/>
          <w:sz w:val="24"/>
          <w:szCs w:val="24"/>
        </w:rPr>
        <w:t>’</w:t>
      </w:r>
      <w:r w:rsidR="00ED4C57" w:rsidRPr="00ED4C57">
        <w:rPr>
          <w:rStyle w:val="documentbody1"/>
          <w:rFonts w:ascii="Times New Roman" w:hAnsi="Times New Roman"/>
          <w:color w:val="000000"/>
          <w:sz w:val="24"/>
          <w:szCs w:val="24"/>
        </w:rPr>
        <w:t xml:space="preserve"> stayed suspension, probation, and six months</w:t>
      </w:r>
      <w:r w:rsidR="007C6323">
        <w:rPr>
          <w:rStyle w:val="documentbody1"/>
          <w:rFonts w:ascii="Times New Roman" w:hAnsi="Times New Roman"/>
          <w:color w:val="000000"/>
          <w:sz w:val="24"/>
          <w:szCs w:val="24"/>
        </w:rPr>
        <w:t>’</w:t>
      </w:r>
      <w:r w:rsidR="00ED4C57" w:rsidRPr="00ED4C57">
        <w:rPr>
          <w:rStyle w:val="documentbody1"/>
          <w:rFonts w:ascii="Times New Roman" w:hAnsi="Times New Roman"/>
          <w:color w:val="000000"/>
          <w:sz w:val="24"/>
          <w:szCs w:val="24"/>
        </w:rPr>
        <w:t xml:space="preserve"> actual suspensi</w:t>
      </w:r>
      <w:r w:rsidR="00ED4C57" w:rsidRPr="008B7E92">
        <w:rPr>
          <w:rStyle w:val="documentbody1"/>
          <w:rFonts w:ascii="Times New Roman" w:hAnsi="Times New Roman"/>
          <w:color w:val="000000" w:themeColor="text1"/>
          <w:sz w:val="24"/>
          <w:szCs w:val="24"/>
        </w:rPr>
        <w:t xml:space="preserve">on. </w:t>
      </w:r>
      <w:r w:rsidR="008D02D3">
        <w:rPr>
          <w:rStyle w:val="documentbody1"/>
          <w:rFonts w:ascii="Times New Roman" w:hAnsi="Times New Roman"/>
          <w:color w:val="000000" w:themeColor="text1"/>
          <w:sz w:val="24"/>
          <w:szCs w:val="24"/>
        </w:rPr>
        <w:t xml:space="preserve"> </w:t>
      </w:r>
      <w:hyperlink r:id="rId10" w:tgtFrame="_top" w:history="1">
        <w:r w:rsidR="00ED4C57" w:rsidRPr="008B7E92">
          <w:rPr>
            <w:rStyle w:val="Hyperlink"/>
            <w:color w:val="000000" w:themeColor="text1"/>
            <w:u w:val="none"/>
          </w:rPr>
          <w:t>(</w:t>
        </w:r>
        <w:r w:rsidR="00ED4C57" w:rsidRPr="008B7E92">
          <w:rPr>
            <w:rStyle w:val="Hyperlink"/>
            <w:i/>
            <w:iCs/>
            <w:color w:val="000000" w:themeColor="text1"/>
            <w:u w:val="none"/>
          </w:rPr>
          <w:t>Id.</w:t>
        </w:r>
        <w:r w:rsidR="00ED4C57" w:rsidRPr="008B7E92">
          <w:rPr>
            <w:rStyle w:val="Hyperlink"/>
            <w:color w:val="000000" w:themeColor="text1"/>
            <w:u w:val="none"/>
          </w:rPr>
          <w:t xml:space="preserve"> at pp. 106</w:t>
        </w:r>
        <w:r w:rsidR="002E3DBE">
          <w:rPr>
            <w:rStyle w:val="Hyperlink"/>
            <w:color w:val="000000" w:themeColor="text1"/>
            <w:u w:val="none"/>
          </w:rPr>
          <w:t>1</w:t>
        </w:r>
        <w:r w:rsidR="00ED4C57" w:rsidRPr="008B7E92">
          <w:rPr>
            <w:rStyle w:val="Hyperlink"/>
            <w:color w:val="000000" w:themeColor="text1"/>
            <w:u w:val="none"/>
          </w:rPr>
          <w:t>-1062.)</w:t>
        </w:r>
      </w:hyperlink>
      <w:bookmarkStart w:id="11" w:name="StarPage"/>
    </w:p>
    <w:p w:rsidR="00700033" w:rsidRDefault="00AF436F" w:rsidP="00AE3173">
      <w:pPr>
        <w:spacing w:line="480" w:lineRule="auto"/>
        <w:rPr>
          <w:rStyle w:val="documentbody1"/>
          <w:rFonts w:ascii="Times New Roman" w:hAnsi="Times New Roman"/>
          <w:color w:val="000000"/>
          <w:sz w:val="24"/>
          <w:szCs w:val="24"/>
        </w:rPr>
      </w:pPr>
      <w:r>
        <w:tab/>
      </w:r>
      <w:r w:rsidR="00B1592F">
        <w:rPr>
          <w:rStyle w:val="documentbody1"/>
          <w:rFonts w:ascii="Times New Roman" w:hAnsi="Times New Roman"/>
          <w:color w:val="000000"/>
          <w:sz w:val="24"/>
          <w:szCs w:val="24"/>
        </w:rPr>
        <w:t xml:space="preserve">Here, as in </w:t>
      </w:r>
      <w:r w:rsidR="005B42BE">
        <w:rPr>
          <w:rStyle w:val="documentbody1"/>
          <w:rFonts w:ascii="Times New Roman" w:hAnsi="Times New Roman"/>
          <w:i/>
          <w:color w:val="000000"/>
          <w:sz w:val="24"/>
          <w:szCs w:val="24"/>
        </w:rPr>
        <w:t>Edwards, Hipolito, H</w:t>
      </w:r>
      <w:r w:rsidR="00B1592F" w:rsidRPr="008B7E92">
        <w:rPr>
          <w:rStyle w:val="documentbody1"/>
          <w:rFonts w:ascii="Times New Roman" w:hAnsi="Times New Roman"/>
          <w:i/>
          <w:color w:val="000000"/>
          <w:sz w:val="24"/>
          <w:szCs w:val="24"/>
        </w:rPr>
        <w:t>oward</w:t>
      </w:r>
      <w:r w:rsidR="005B42BE">
        <w:rPr>
          <w:rStyle w:val="documentbody1"/>
          <w:rFonts w:ascii="Times New Roman" w:hAnsi="Times New Roman"/>
          <w:i/>
          <w:color w:val="000000"/>
          <w:sz w:val="24"/>
          <w:szCs w:val="24"/>
        </w:rPr>
        <w:t xml:space="preserve"> </w:t>
      </w:r>
      <w:r w:rsidR="00B1592F" w:rsidRPr="00ED4C57">
        <w:rPr>
          <w:rStyle w:val="documentbody1"/>
          <w:rFonts w:ascii="Times New Roman" w:hAnsi="Times New Roman"/>
          <w:color w:val="000000"/>
          <w:sz w:val="24"/>
          <w:szCs w:val="24"/>
        </w:rPr>
        <w:t xml:space="preserve">and </w:t>
      </w:r>
      <w:r w:rsidR="00B1592F" w:rsidRPr="00ED4C57">
        <w:rPr>
          <w:rStyle w:val="documentbody1"/>
          <w:rFonts w:ascii="Times New Roman" w:hAnsi="Times New Roman"/>
          <w:i/>
          <w:iCs/>
          <w:color w:val="000000"/>
          <w:sz w:val="24"/>
          <w:szCs w:val="24"/>
        </w:rPr>
        <w:t>Bates,</w:t>
      </w:r>
      <w:r w:rsidR="00B1592F" w:rsidRPr="00ED4C57">
        <w:rPr>
          <w:rStyle w:val="documentbody1"/>
          <w:rFonts w:ascii="Times New Roman" w:hAnsi="Times New Roman"/>
          <w:color w:val="000000"/>
          <w:sz w:val="24"/>
          <w:szCs w:val="24"/>
        </w:rPr>
        <w:t xml:space="preserve"> the respondent </w:t>
      </w:r>
      <w:r w:rsidR="000170DB">
        <w:rPr>
          <w:rStyle w:val="documentbody1"/>
          <w:rFonts w:ascii="Times New Roman" w:hAnsi="Times New Roman"/>
          <w:color w:val="000000"/>
          <w:sz w:val="24"/>
          <w:szCs w:val="24"/>
        </w:rPr>
        <w:t xml:space="preserve">willfully misappropriated client funds </w:t>
      </w:r>
      <w:r w:rsidR="00B1592F" w:rsidRPr="00ED4C57">
        <w:rPr>
          <w:rStyle w:val="documentbody1"/>
          <w:rFonts w:ascii="Times New Roman" w:hAnsi="Times New Roman"/>
          <w:color w:val="000000"/>
          <w:sz w:val="24"/>
          <w:szCs w:val="24"/>
        </w:rPr>
        <w:t xml:space="preserve">under </w:t>
      </w:r>
      <w:r w:rsidR="000170DB">
        <w:rPr>
          <w:rStyle w:val="documentbody1"/>
          <w:rFonts w:ascii="Times New Roman" w:hAnsi="Times New Roman"/>
          <w:color w:val="000000"/>
          <w:sz w:val="24"/>
          <w:szCs w:val="24"/>
        </w:rPr>
        <w:t xml:space="preserve">compelling </w:t>
      </w:r>
      <w:r w:rsidR="00B1592F" w:rsidRPr="00ED4C57">
        <w:rPr>
          <w:rStyle w:val="documentbody1"/>
          <w:rFonts w:ascii="Times New Roman" w:hAnsi="Times New Roman"/>
          <w:color w:val="000000"/>
          <w:sz w:val="24"/>
          <w:szCs w:val="24"/>
        </w:rPr>
        <w:t>mitigating circumstances.</w:t>
      </w:r>
      <w:r w:rsidR="000B43FD">
        <w:rPr>
          <w:rStyle w:val="documentbody1"/>
          <w:rFonts w:ascii="Times New Roman" w:hAnsi="Times New Roman"/>
          <w:color w:val="000000"/>
          <w:sz w:val="24"/>
          <w:szCs w:val="24"/>
        </w:rPr>
        <w:t xml:space="preserve">  Based on the fore</w:t>
      </w:r>
      <w:r w:rsidR="00BC0051">
        <w:rPr>
          <w:rStyle w:val="documentbody1"/>
          <w:rFonts w:ascii="Times New Roman" w:hAnsi="Times New Roman"/>
          <w:color w:val="000000"/>
          <w:sz w:val="24"/>
          <w:szCs w:val="24"/>
        </w:rPr>
        <w:t>going cases, we determine that six months’</w:t>
      </w:r>
      <w:r w:rsidR="000B43FD">
        <w:rPr>
          <w:rStyle w:val="documentbody1"/>
          <w:rFonts w:ascii="Times New Roman" w:hAnsi="Times New Roman"/>
          <w:color w:val="000000"/>
          <w:sz w:val="24"/>
          <w:szCs w:val="24"/>
        </w:rPr>
        <w:t xml:space="preserve"> actual suspension is the appropriate discipline recommendation in respondent’s case.  We start with the similarity respondent’s case has with </w:t>
      </w:r>
      <w:r w:rsidR="00BA22A5">
        <w:rPr>
          <w:rStyle w:val="documentbody1"/>
          <w:rFonts w:ascii="Times New Roman" w:hAnsi="Times New Roman"/>
          <w:color w:val="000000"/>
          <w:sz w:val="24"/>
          <w:szCs w:val="24"/>
        </w:rPr>
        <w:t xml:space="preserve">the attorney in </w:t>
      </w:r>
      <w:r w:rsidR="000B43FD" w:rsidRPr="00BA22A5">
        <w:rPr>
          <w:rStyle w:val="documentbody1"/>
          <w:rFonts w:ascii="Times New Roman" w:hAnsi="Times New Roman"/>
          <w:i/>
          <w:color w:val="000000"/>
          <w:sz w:val="24"/>
          <w:szCs w:val="24"/>
        </w:rPr>
        <w:t>Edwards</w:t>
      </w:r>
      <w:r w:rsidR="000B43FD">
        <w:rPr>
          <w:rStyle w:val="documentbody1"/>
          <w:rFonts w:ascii="Times New Roman" w:hAnsi="Times New Roman"/>
          <w:color w:val="000000"/>
          <w:sz w:val="24"/>
          <w:szCs w:val="24"/>
        </w:rPr>
        <w:t xml:space="preserve"> who was given one-year actual suspension based on standard 2.2(a).  Respondent misappropriated for his personal use approximately the same amount as Edwards, and as in </w:t>
      </w:r>
      <w:r w:rsidR="000B43FD" w:rsidRPr="00BA22A5">
        <w:rPr>
          <w:rStyle w:val="documentbody1"/>
          <w:rFonts w:ascii="Times New Roman" w:hAnsi="Times New Roman"/>
          <w:i/>
          <w:color w:val="000000"/>
          <w:sz w:val="24"/>
          <w:szCs w:val="24"/>
        </w:rPr>
        <w:t>Edwards</w:t>
      </w:r>
      <w:r w:rsidR="000B43FD">
        <w:rPr>
          <w:rStyle w:val="documentbody1"/>
          <w:rFonts w:ascii="Times New Roman" w:hAnsi="Times New Roman"/>
          <w:color w:val="000000"/>
          <w:sz w:val="24"/>
          <w:szCs w:val="24"/>
        </w:rPr>
        <w:t>, respondent commingled his funds with the funds in the CTA while failing to maintain any CTA records.</w:t>
      </w:r>
      <w:r w:rsidR="00E14CF3">
        <w:rPr>
          <w:rStyle w:val="documentbody1"/>
          <w:rFonts w:ascii="Times New Roman" w:hAnsi="Times New Roman"/>
          <w:color w:val="000000"/>
          <w:sz w:val="24"/>
          <w:szCs w:val="24"/>
        </w:rPr>
        <w:t xml:space="preserve">  Conversely, </w:t>
      </w:r>
      <w:r w:rsidR="00BC0051">
        <w:rPr>
          <w:rStyle w:val="documentbody1"/>
          <w:rFonts w:ascii="Times New Roman" w:hAnsi="Times New Roman"/>
          <w:color w:val="000000"/>
          <w:sz w:val="24"/>
          <w:szCs w:val="24"/>
        </w:rPr>
        <w:t xml:space="preserve">however, </w:t>
      </w:r>
      <w:r w:rsidR="00874A40">
        <w:rPr>
          <w:rStyle w:val="documentbody1"/>
          <w:rFonts w:ascii="Times New Roman" w:hAnsi="Times New Roman"/>
          <w:color w:val="000000"/>
          <w:sz w:val="24"/>
          <w:szCs w:val="24"/>
        </w:rPr>
        <w:t>Edward</w:t>
      </w:r>
      <w:r w:rsidR="003F2084">
        <w:rPr>
          <w:rStyle w:val="documentbody1"/>
          <w:rFonts w:ascii="Times New Roman" w:hAnsi="Times New Roman"/>
          <w:color w:val="000000"/>
          <w:sz w:val="24"/>
          <w:szCs w:val="24"/>
        </w:rPr>
        <w:t>s</w:t>
      </w:r>
      <w:r w:rsidR="00874A40">
        <w:rPr>
          <w:rStyle w:val="documentbody1"/>
          <w:rFonts w:ascii="Times New Roman" w:hAnsi="Times New Roman"/>
          <w:color w:val="000000"/>
          <w:sz w:val="24"/>
          <w:szCs w:val="24"/>
        </w:rPr>
        <w:t>’</w:t>
      </w:r>
      <w:r w:rsidR="003F2084">
        <w:rPr>
          <w:rStyle w:val="documentbody1"/>
          <w:rFonts w:ascii="Times New Roman" w:hAnsi="Times New Roman"/>
          <w:color w:val="000000"/>
          <w:sz w:val="24"/>
          <w:szCs w:val="24"/>
        </w:rPr>
        <w:t xml:space="preserve"> misconduct was more extensive.  A</w:t>
      </w:r>
      <w:r w:rsidR="0085773B">
        <w:rPr>
          <w:rStyle w:val="documentbody1"/>
          <w:rFonts w:ascii="Times New Roman" w:hAnsi="Times New Roman"/>
          <w:color w:val="000000"/>
          <w:sz w:val="24"/>
          <w:szCs w:val="24"/>
        </w:rPr>
        <w:t>lthough respondent committed multiple acts of misconduct relating to his CTA</w:t>
      </w:r>
      <w:r w:rsidR="00393375">
        <w:rPr>
          <w:rStyle w:val="documentbody1"/>
          <w:rFonts w:ascii="Times New Roman" w:hAnsi="Times New Roman"/>
          <w:color w:val="000000"/>
          <w:sz w:val="24"/>
          <w:szCs w:val="24"/>
        </w:rPr>
        <w:t xml:space="preserve">, his </w:t>
      </w:r>
      <w:r w:rsidR="00393375">
        <w:rPr>
          <w:rStyle w:val="documentbody1"/>
          <w:rFonts w:ascii="Times New Roman" w:hAnsi="Times New Roman"/>
          <w:color w:val="000000"/>
          <w:sz w:val="24"/>
          <w:szCs w:val="24"/>
        </w:rPr>
        <w:lastRenderedPageBreak/>
        <w:t xml:space="preserve">misappropriation of </w:t>
      </w:r>
      <w:r w:rsidR="00026340">
        <w:rPr>
          <w:rStyle w:val="documentbody1"/>
          <w:rFonts w:ascii="Times New Roman" w:hAnsi="Times New Roman"/>
          <w:color w:val="000000"/>
          <w:sz w:val="24"/>
          <w:szCs w:val="24"/>
        </w:rPr>
        <w:t xml:space="preserve">$2,200 </w:t>
      </w:r>
      <w:r w:rsidR="003F2084">
        <w:rPr>
          <w:rStyle w:val="documentbody1"/>
          <w:rFonts w:ascii="Times New Roman" w:hAnsi="Times New Roman"/>
          <w:color w:val="000000"/>
          <w:sz w:val="24"/>
          <w:szCs w:val="24"/>
        </w:rPr>
        <w:t xml:space="preserve">from his client </w:t>
      </w:r>
      <w:r w:rsidR="00026340">
        <w:rPr>
          <w:rStyle w:val="documentbody1"/>
          <w:rFonts w:ascii="Times New Roman" w:hAnsi="Times New Roman"/>
          <w:color w:val="000000"/>
          <w:sz w:val="24"/>
          <w:szCs w:val="24"/>
        </w:rPr>
        <w:t xml:space="preserve">by withdrawing funds on four separate occasions </w:t>
      </w:r>
      <w:r w:rsidR="00393375">
        <w:rPr>
          <w:rStyle w:val="documentbody1"/>
          <w:rFonts w:ascii="Times New Roman" w:hAnsi="Times New Roman"/>
          <w:color w:val="000000"/>
          <w:sz w:val="24"/>
          <w:szCs w:val="24"/>
        </w:rPr>
        <w:t xml:space="preserve">occurred during a </w:t>
      </w:r>
      <w:r w:rsidR="00026340">
        <w:rPr>
          <w:rStyle w:val="documentbody1"/>
          <w:rFonts w:ascii="Times New Roman" w:hAnsi="Times New Roman"/>
          <w:color w:val="000000"/>
          <w:sz w:val="24"/>
          <w:szCs w:val="24"/>
        </w:rPr>
        <w:t>one-week period</w:t>
      </w:r>
      <w:r w:rsidR="00393375">
        <w:rPr>
          <w:rStyle w:val="documentbody1"/>
          <w:rFonts w:ascii="Times New Roman" w:hAnsi="Times New Roman"/>
          <w:color w:val="000000"/>
          <w:sz w:val="24"/>
          <w:szCs w:val="24"/>
        </w:rPr>
        <w:t>.  T</w:t>
      </w:r>
      <w:r w:rsidR="0085773B">
        <w:rPr>
          <w:rStyle w:val="documentbody1"/>
          <w:rFonts w:ascii="Times New Roman" w:hAnsi="Times New Roman"/>
          <w:color w:val="000000"/>
          <w:sz w:val="24"/>
          <w:szCs w:val="24"/>
        </w:rPr>
        <w:t>he record does not support a finding of “</w:t>
      </w:r>
      <w:r w:rsidR="000170DB">
        <w:rPr>
          <w:rStyle w:val="documentbody1"/>
          <w:rFonts w:ascii="Times New Roman" w:hAnsi="Times New Roman"/>
          <w:color w:val="000000"/>
          <w:sz w:val="24"/>
          <w:szCs w:val="24"/>
        </w:rPr>
        <w:t>multiple acts of misappropriation</w:t>
      </w:r>
      <w:r w:rsidR="0085773B">
        <w:rPr>
          <w:rStyle w:val="documentbody1"/>
          <w:rFonts w:ascii="Times New Roman" w:hAnsi="Times New Roman"/>
          <w:color w:val="000000"/>
          <w:sz w:val="24"/>
          <w:szCs w:val="24"/>
        </w:rPr>
        <w:t xml:space="preserve">” as in </w:t>
      </w:r>
      <w:r w:rsidR="0085773B" w:rsidRPr="0085773B">
        <w:rPr>
          <w:rStyle w:val="documentbody1"/>
          <w:rFonts w:ascii="Times New Roman" w:hAnsi="Times New Roman"/>
          <w:i/>
          <w:color w:val="000000"/>
          <w:sz w:val="24"/>
          <w:szCs w:val="24"/>
        </w:rPr>
        <w:t>Edwards</w:t>
      </w:r>
      <w:r w:rsidR="0085773B">
        <w:rPr>
          <w:rStyle w:val="documentbody1"/>
          <w:rFonts w:ascii="Times New Roman" w:hAnsi="Times New Roman"/>
          <w:color w:val="000000"/>
          <w:sz w:val="24"/>
          <w:szCs w:val="24"/>
        </w:rPr>
        <w:t>.</w:t>
      </w:r>
      <w:r w:rsidR="000170DB">
        <w:rPr>
          <w:rStyle w:val="documentbody1"/>
          <w:rFonts w:ascii="Times New Roman" w:hAnsi="Times New Roman"/>
          <w:color w:val="000000"/>
          <w:sz w:val="24"/>
          <w:szCs w:val="24"/>
        </w:rPr>
        <w:t xml:space="preserve"> </w:t>
      </w:r>
      <w:r w:rsidR="00393375">
        <w:rPr>
          <w:rStyle w:val="documentbody1"/>
          <w:rFonts w:ascii="Times New Roman" w:hAnsi="Times New Roman"/>
          <w:color w:val="000000"/>
          <w:sz w:val="24"/>
          <w:szCs w:val="24"/>
        </w:rPr>
        <w:t xml:space="preserve"> Also, respondent has many more years of discipline-free practice than Edwards.  </w:t>
      </w:r>
      <w:r w:rsidR="000170DB">
        <w:rPr>
          <w:rStyle w:val="documentbody1"/>
          <w:rFonts w:ascii="Times New Roman" w:hAnsi="Times New Roman"/>
          <w:color w:val="000000"/>
          <w:sz w:val="24"/>
          <w:szCs w:val="24"/>
        </w:rPr>
        <w:t xml:space="preserve"> </w:t>
      </w:r>
      <w:r w:rsidR="003F2084">
        <w:rPr>
          <w:rStyle w:val="documentbody1"/>
          <w:rFonts w:ascii="Times New Roman" w:hAnsi="Times New Roman"/>
          <w:color w:val="000000"/>
          <w:sz w:val="24"/>
          <w:szCs w:val="24"/>
        </w:rPr>
        <w:t xml:space="preserve">Despite </w:t>
      </w:r>
      <w:r w:rsidR="008D02D3">
        <w:rPr>
          <w:rStyle w:val="documentbody1"/>
          <w:rFonts w:ascii="Times New Roman" w:hAnsi="Times New Roman"/>
          <w:color w:val="000000"/>
          <w:sz w:val="24"/>
          <w:szCs w:val="24"/>
        </w:rPr>
        <w:t xml:space="preserve">his </w:t>
      </w:r>
      <w:r w:rsidR="003F2084">
        <w:rPr>
          <w:rStyle w:val="documentbody1"/>
          <w:rFonts w:ascii="Times New Roman" w:hAnsi="Times New Roman"/>
          <w:color w:val="000000"/>
          <w:sz w:val="24"/>
          <w:szCs w:val="24"/>
        </w:rPr>
        <w:t xml:space="preserve">more extensive misconduct, Edwards </w:t>
      </w:r>
      <w:r w:rsidR="002E3DBE">
        <w:rPr>
          <w:rStyle w:val="documentbody1"/>
          <w:rFonts w:ascii="Times New Roman" w:hAnsi="Times New Roman"/>
          <w:color w:val="000000"/>
          <w:sz w:val="24"/>
          <w:szCs w:val="24"/>
        </w:rPr>
        <w:t xml:space="preserve">also </w:t>
      </w:r>
      <w:r w:rsidR="003F2084">
        <w:rPr>
          <w:rStyle w:val="documentbody1"/>
          <w:rFonts w:ascii="Times New Roman" w:hAnsi="Times New Roman"/>
          <w:color w:val="000000"/>
          <w:sz w:val="24"/>
          <w:szCs w:val="24"/>
        </w:rPr>
        <w:t>establish</w:t>
      </w:r>
      <w:r w:rsidR="008D02D3">
        <w:rPr>
          <w:rStyle w:val="documentbody1"/>
          <w:rFonts w:ascii="Times New Roman" w:hAnsi="Times New Roman"/>
          <w:color w:val="000000"/>
          <w:sz w:val="24"/>
          <w:szCs w:val="24"/>
        </w:rPr>
        <w:t>ed</w:t>
      </w:r>
      <w:r w:rsidR="003F2084">
        <w:rPr>
          <w:rStyle w:val="documentbody1"/>
          <w:rFonts w:ascii="Times New Roman" w:hAnsi="Times New Roman"/>
          <w:color w:val="000000"/>
          <w:sz w:val="24"/>
          <w:szCs w:val="24"/>
        </w:rPr>
        <w:t xml:space="preserve"> that </w:t>
      </w:r>
      <w:r w:rsidR="008C55EA">
        <w:rPr>
          <w:rStyle w:val="documentbody1"/>
          <w:rFonts w:ascii="Times New Roman" w:hAnsi="Times New Roman"/>
          <w:color w:val="000000"/>
          <w:sz w:val="24"/>
          <w:szCs w:val="24"/>
        </w:rPr>
        <w:t xml:space="preserve">he </w:t>
      </w:r>
      <w:r w:rsidR="003F2084">
        <w:rPr>
          <w:rStyle w:val="documentbody1"/>
          <w:rFonts w:ascii="Times New Roman" w:hAnsi="Times New Roman"/>
          <w:color w:val="000000"/>
          <w:sz w:val="24"/>
          <w:szCs w:val="24"/>
        </w:rPr>
        <w:t>took</w:t>
      </w:r>
      <w:r w:rsidR="00026340">
        <w:rPr>
          <w:rStyle w:val="documentbody1"/>
          <w:rFonts w:ascii="Times New Roman" w:hAnsi="Times New Roman"/>
          <w:color w:val="000000"/>
          <w:sz w:val="24"/>
          <w:szCs w:val="24"/>
        </w:rPr>
        <w:t xml:space="preserve"> </w:t>
      </w:r>
      <w:r w:rsidR="00026340" w:rsidRPr="00ED4C57">
        <w:rPr>
          <w:rStyle w:val="documentbody1"/>
          <w:rFonts w:ascii="Times New Roman" w:hAnsi="Times New Roman"/>
          <w:color w:val="000000"/>
          <w:sz w:val="24"/>
          <w:szCs w:val="24"/>
        </w:rPr>
        <w:t>voluntary steps to imp</w:t>
      </w:r>
      <w:r w:rsidR="00026340">
        <w:rPr>
          <w:rStyle w:val="documentbody1"/>
          <w:rFonts w:ascii="Times New Roman" w:hAnsi="Times New Roman"/>
          <w:color w:val="000000"/>
          <w:sz w:val="24"/>
          <w:szCs w:val="24"/>
        </w:rPr>
        <w:t>r</w:t>
      </w:r>
      <w:r w:rsidR="00026340" w:rsidRPr="00ED4C57">
        <w:rPr>
          <w:rStyle w:val="documentbody1"/>
          <w:rFonts w:ascii="Times New Roman" w:hAnsi="Times New Roman"/>
          <w:color w:val="000000"/>
          <w:sz w:val="24"/>
          <w:szCs w:val="24"/>
        </w:rPr>
        <w:t xml:space="preserve">ove </w:t>
      </w:r>
      <w:r w:rsidR="003F2084">
        <w:rPr>
          <w:rStyle w:val="documentbody1"/>
          <w:rFonts w:ascii="Times New Roman" w:hAnsi="Times New Roman"/>
          <w:color w:val="000000"/>
          <w:sz w:val="24"/>
          <w:szCs w:val="24"/>
        </w:rPr>
        <w:t>the</w:t>
      </w:r>
      <w:r w:rsidR="00026340" w:rsidRPr="00ED4C57">
        <w:rPr>
          <w:rStyle w:val="documentbody1"/>
          <w:rFonts w:ascii="Times New Roman" w:hAnsi="Times New Roman"/>
          <w:color w:val="000000"/>
          <w:sz w:val="24"/>
          <w:szCs w:val="24"/>
        </w:rPr>
        <w:t xml:space="preserve"> management of </w:t>
      </w:r>
      <w:r w:rsidR="003F2084">
        <w:rPr>
          <w:rStyle w:val="documentbody1"/>
          <w:rFonts w:ascii="Times New Roman" w:hAnsi="Times New Roman"/>
          <w:color w:val="000000"/>
          <w:sz w:val="24"/>
          <w:szCs w:val="24"/>
        </w:rPr>
        <w:t xml:space="preserve">his </w:t>
      </w:r>
      <w:r w:rsidR="00026340" w:rsidRPr="00ED4C57">
        <w:rPr>
          <w:rStyle w:val="documentbody1"/>
          <w:rFonts w:ascii="Times New Roman" w:hAnsi="Times New Roman"/>
          <w:color w:val="000000"/>
          <w:sz w:val="24"/>
          <w:szCs w:val="24"/>
        </w:rPr>
        <w:t>trust funds</w:t>
      </w:r>
      <w:r w:rsidR="008D02D3">
        <w:rPr>
          <w:rStyle w:val="documentbody1"/>
          <w:rFonts w:ascii="Times New Roman" w:hAnsi="Times New Roman"/>
          <w:color w:val="000000"/>
          <w:sz w:val="24"/>
          <w:szCs w:val="24"/>
        </w:rPr>
        <w:t>,</w:t>
      </w:r>
      <w:r w:rsidR="00026340">
        <w:rPr>
          <w:rStyle w:val="documentbody1"/>
          <w:rFonts w:ascii="Times New Roman" w:hAnsi="Times New Roman"/>
          <w:color w:val="000000"/>
          <w:sz w:val="24"/>
          <w:szCs w:val="24"/>
        </w:rPr>
        <w:t xml:space="preserve"> which </w:t>
      </w:r>
      <w:r w:rsidR="008D02D3">
        <w:rPr>
          <w:rStyle w:val="documentbody1"/>
          <w:rFonts w:ascii="Times New Roman" w:hAnsi="Times New Roman"/>
          <w:color w:val="000000"/>
          <w:sz w:val="24"/>
          <w:szCs w:val="24"/>
        </w:rPr>
        <w:t xml:space="preserve">is a significant factor in mitigation that </w:t>
      </w:r>
      <w:r w:rsidR="00026340">
        <w:rPr>
          <w:rStyle w:val="documentbody1"/>
          <w:rFonts w:ascii="Times New Roman" w:hAnsi="Times New Roman"/>
          <w:color w:val="000000"/>
          <w:sz w:val="24"/>
          <w:szCs w:val="24"/>
        </w:rPr>
        <w:t>supports the conclusion that the public would be protected by a shorter period of discipline than otherwise required</w:t>
      </w:r>
      <w:r w:rsidR="003F2084">
        <w:rPr>
          <w:rStyle w:val="documentbody1"/>
          <w:rFonts w:ascii="Times New Roman" w:hAnsi="Times New Roman"/>
          <w:color w:val="000000"/>
          <w:sz w:val="24"/>
          <w:szCs w:val="24"/>
        </w:rPr>
        <w:t xml:space="preserve"> (see </w:t>
      </w:r>
      <w:r w:rsidR="003F2084" w:rsidRPr="00ED4C57">
        <w:rPr>
          <w:rStyle w:val="documentbody1"/>
          <w:rFonts w:ascii="Times New Roman" w:hAnsi="Times New Roman"/>
          <w:i/>
          <w:color w:val="000000"/>
          <w:sz w:val="24"/>
          <w:szCs w:val="24"/>
        </w:rPr>
        <w:t>Hipolito v. State Bar</w:t>
      </w:r>
      <w:r w:rsidR="003F2084">
        <w:rPr>
          <w:rStyle w:val="documentbody1"/>
          <w:rFonts w:ascii="Times New Roman" w:hAnsi="Times New Roman"/>
          <w:i/>
          <w:color w:val="000000"/>
          <w:sz w:val="24"/>
          <w:szCs w:val="24"/>
        </w:rPr>
        <w:t xml:space="preserve">, supra, </w:t>
      </w:r>
      <w:r w:rsidR="003F2084" w:rsidRPr="00ED4C57">
        <w:rPr>
          <w:rStyle w:val="documentbody1"/>
          <w:rFonts w:ascii="Times New Roman" w:hAnsi="Times New Roman"/>
          <w:color w:val="000000"/>
          <w:sz w:val="24"/>
          <w:szCs w:val="24"/>
        </w:rPr>
        <w:t xml:space="preserve">48 Cal.3d </w:t>
      </w:r>
      <w:r w:rsidR="003F2084">
        <w:rPr>
          <w:rStyle w:val="documentbody1"/>
          <w:rFonts w:ascii="Times New Roman" w:hAnsi="Times New Roman"/>
          <w:color w:val="000000"/>
          <w:sz w:val="24"/>
          <w:szCs w:val="24"/>
        </w:rPr>
        <w:t>at pp. 627-628)</w:t>
      </w:r>
      <w:r w:rsidR="00026340">
        <w:rPr>
          <w:rStyle w:val="documentbody1"/>
          <w:rFonts w:ascii="Times New Roman" w:hAnsi="Times New Roman"/>
          <w:color w:val="000000"/>
          <w:sz w:val="24"/>
          <w:szCs w:val="24"/>
        </w:rPr>
        <w:t xml:space="preserve">; a factor respondent failed to </w:t>
      </w:r>
      <w:r w:rsidR="002B78F4">
        <w:rPr>
          <w:rStyle w:val="documentbody1"/>
          <w:rFonts w:ascii="Times New Roman" w:hAnsi="Times New Roman"/>
          <w:color w:val="000000"/>
          <w:sz w:val="24"/>
          <w:szCs w:val="24"/>
        </w:rPr>
        <w:t>prove</w:t>
      </w:r>
      <w:r w:rsidR="00026340">
        <w:rPr>
          <w:rStyle w:val="documentbody1"/>
          <w:rFonts w:ascii="Times New Roman" w:hAnsi="Times New Roman"/>
          <w:color w:val="000000"/>
          <w:sz w:val="24"/>
          <w:szCs w:val="24"/>
        </w:rPr>
        <w:t xml:space="preserve">.  </w:t>
      </w:r>
    </w:p>
    <w:p w:rsidR="000B43FD" w:rsidRDefault="00700033" w:rsidP="00700033">
      <w:pPr>
        <w:spacing w:line="480" w:lineRule="auto"/>
        <w:rPr>
          <w:rStyle w:val="documentbody1"/>
          <w:rFonts w:ascii="Times New Roman" w:hAnsi="Times New Roman"/>
          <w:color w:val="000000"/>
          <w:sz w:val="24"/>
          <w:szCs w:val="24"/>
        </w:rPr>
      </w:pPr>
      <w:r>
        <w:rPr>
          <w:rStyle w:val="documentbody1"/>
          <w:rFonts w:ascii="Times New Roman" w:hAnsi="Times New Roman"/>
          <w:color w:val="000000"/>
          <w:sz w:val="24"/>
          <w:szCs w:val="24"/>
        </w:rPr>
        <w:tab/>
        <w:t xml:space="preserve">In </w:t>
      </w:r>
      <w:r w:rsidRPr="005B42BE">
        <w:rPr>
          <w:rStyle w:val="documentbody1"/>
          <w:rFonts w:ascii="Times New Roman" w:hAnsi="Times New Roman"/>
          <w:i/>
          <w:color w:val="000000"/>
          <w:sz w:val="24"/>
          <w:szCs w:val="24"/>
        </w:rPr>
        <w:t>Hipolito</w:t>
      </w:r>
      <w:r>
        <w:rPr>
          <w:rStyle w:val="documentbody1"/>
          <w:rFonts w:ascii="Times New Roman" w:hAnsi="Times New Roman"/>
          <w:color w:val="000000"/>
          <w:sz w:val="24"/>
          <w:szCs w:val="24"/>
        </w:rPr>
        <w:t xml:space="preserve">, like </w:t>
      </w:r>
      <w:r w:rsidRPr="005B42BE">
        <w:rPr>
          <w:rStyle w:val="documentbody1"/>
          <w:rFonts w:ascii="Times New Roman" w:hAnsi="Times New Roman"/>
          <w:i/>
          <w:color w:val="000000"/>
          <w:sz w:val="24"/>
          <w:szCs w:val="24"/>
        </w:rPr>
        <w:t>Edwards</w:t>
      </w:r>
      <w:r>
        <w:rPr>
          <w:rStyle w:val="documentbody1"/>
          <w:rFonts w:ascii="Times New Roman" w:hAnsi="Times New Roman"/>
          <w:color w:val="000000"/>
          <w:sz w:val="24"/>
          <w:szCs w:val="24"/>
        </w:rPr>
        <w:t xml:space="preserve">, the attorney’s misconduct was more egregious than the misconduct in the present case, including a 13-month delay in repayment of funds to the client and the abandonment of a second client in an unrelated matter.  However, while Hipolito had only </w:t>
      </w:r>
      <w:r w:rsidR="005B2125">
        <w:rPr>
          <w:rStyle w:val="documentbody1"/>
          <w:rFonts w:ascii="Times New Roman" w:hAnsi="Times New Roman"/>
          <w:color w:val="000000"/>
          <w:sz w:val="24"/>
          <w:szCs w:val="24"/>
        </w:rPr>
        <w:t>eight</w:t>
      </w:r>
      <w:r>
        <w:rPr>
          <w:rStyle w:val="documentbody1"/>
          <w:rFonts w:ascii="Times New Roman" w:hAnsi="Times New Roman"/>
          <w:color w:val="000000"/>
          <w:sz w:val="24"/>
          <w:szCs w:val="24"/>
        </w:rPr>
        <w:t xml:space="preserve"> years of a discipline-free practice prior to his misconduct compared to respondent’s 24 years, Hipolito had significantly more mitigation, i.e., remorse, extraordinary demonstration of good character, proven financial difficulties and corrective management practices.  </w:t>
      </w:r>
      <w:r w:rsidR="008D02D3">
        <w:rPr>
          <w:rStyle w:val="documentbody1"/>
          <w:rFonts w:ascii="Times New Roman" w:hAnsi="Times New Roman"/>
          <w:color w:val="000000"/>
          <w:sz w:val="24"/>
          <w:szCs w:val="24"/>
        </w:rPr>
        <w:t xml:space="preserve">Considering the extent of culpability, </w:t>
      </w:r>
      <w:r w:rsidR="002B78F4">
        <w:rPr>
          <w:rStyle w:val="documentbody1"/>
          <w:rFonts w:ascii="Times New Roman" w:hAnsi="Times New Roman"/>
          <w:color w:val="000000"/>
          <w:sz w:val="24"/>
          <w:szCs w:val="24"/>
        </w:rPr>
        <w:t xml:space="preserve">and balancing the </w:t>
      </w:r>
      <w:r w:rsidR="008D02D3">
        <w:rPr>
          <w:rStyle w:val="documentbody1"/>
          <w:rFonts w:ascii="Times New Roman" w:hAnsi="Times New Roman"/>
          <w:color w:val="000000"/>
          <w:sz w:val="24"/>
          <w:szCs w:val="24"/>
        </w:rPr>
        <w:t xml:space="preserve">factors in mitigation and aggravation, </w:t>
      </w:r>
      <w:r w:rsidR="000170DB">
        <w:rPr>
          <w:rStyle w:val="documentbody1"/>
          <w:rFonts w:ascii="Times New Roman" w:hAnsi="Times New Roman"/>
          <w:color w:val="000000"/>
          <w:sz w:val="24"/>
          <w:szCs w:val="24"/>
        </w:rPr>
        <w:t>we believe that respondent is entitled to a lower level of discipline</w:t>
      </w:r>
      <w:r>
        <w:rPr>
          <w:rStyle w:val="documentbody1"/>
          <w:rFonts w:ascii="Times New Roman" w:hAnsi="Times New Roman"/>
          <w:color w:val="000000"/>
          <w:sz w:val="24"/>
          <w:szCs w:val="24"/>
        </w:rPr>
        <w:t xml:space="preserve"> than the one-year actual suspension imposed in </w:t>
      </w:r>
      <w:r w:rsidRPr="00700033">
        <w:rPr>
          <w:rStyle w:val="documentbody1"/>
          <w:rFonts w:ascii="Times New Roman" w:hAnsi="Times New Roman"/>
          <w:i/>
          <w:color w:val="000000"/>
          <w:sz w:val="24"/>
          <w:szCs w:val="24"/>
        </w:rPr>
        <w:t>Edwards</w:t>
      </w:r>
      <w:r>
        <w:rPr>
          <w:rStyle w:val="documentbody1"/>
          <w:rFonts w:ascii="Times New Roman" w:hAnsi="Times New Roman"/>
          <w:color w:val="000000"/>
          <w:sz w:val="24"/>
          <w:szCs w:val="24"/>
        </w:rPr>
        <w:t xml:space="preserve"> and </w:t>
      </w:r>
      <w:r w:rsidRPr="00700033">
        <w:rPr>
          <w:rStyle w:val="documentbody1"/>
          <w:rFonts w:ascii="Times New Roman" w:hAnsi="Times New Roman"/>
          <w:i/>
          <w:color w:val="000000"/>
          <w:sz w:val="24"/>
          <w:szCs w:val="24"/>
        </w:rPr>
        <w:t>Hipolito</w:t>
      </w:r>
      <w:r w:rsidR="000170DB">
        <w:rPr>
          <w:rStyle w:val="documentbody1"/>
          <w:rFonts w:ascii="Times New Roman" w:hAnsi="Times New Roman"/>
          <w:color w:val="000000"/>
          <w:sz w:val="24"/>
          <w:szCs w:val="24"/>
        </w:rPr>
        <w:t xml:space="preserve">. </w:t>
      </w:r>
    </w:p>
    <w:p w:rsidR="000A047C" w:rsidRDefault="000B43FD" w:rsidP="00AE3173">
      <w:pPr>
        <w:spacing w:line="480" w:lineRule="auto"/>
      </w:pPr>
      <w:r>
        <w:rPr>
          <w:rStyle w:val="documentbody1"/>
          <w:rFonts w:ascii="Times New Roman" w:hAnsi="Times New Roman"/>
          <w:color w:val="000000"/>
          <w:sz w:val="24"/>
          <w:szCs w:val="24"/>
        </w:rPr>
        <w:tab/>
        <w:t xml:space="preserve">Next, we look at the </w:t>
      </w:r>
      <w:r w:rsidRPr="000B43FD">
        <w:rPr>
          <w:rStyle w:val="documentbody1"/>
          <w:rFonts w:ascii="Times New Roman" w:hAnsi="Times New Roman"/>
          <w:i/>
          <w:color w:val="000000"/>
          <w:sz w:val="24"/>
          <w:szCs w:val="24"/>
        </w:rPr>
        <w:t>Howard</w:t>
      </w:r>
      <w:r>
        <w:rPr>
          <w:rStyle w:val="documentbody1"/>
          <w:rFonts w:ascii="Times New Roman" w:hAnsi="Times New Roman"/>
          <w:color w:val="000000"/>
          <w:sz w:val="24"/>
          <w:szCs w:val="24"/>
        </w:rPr>
        <w:t xml:space="preserve"> and </w:t>
      </w:r>
      <w:r w:rsidRPr="000B43FD">
        <w:rPr>
          <w:rStyle w:val="documentbody1"/>
          <w:rFonts w:ascii="Times New Roman" w:hAnsi="Times New Roman"/>
          <w:i/>
          <w:color w:val="000000"/>
          <w:sz w:val="24"/>
          <w:szCs w:val="24"/>
        </w:rPr>
        <w:t>Bates</w:t>
      </w:r>
      <w:r w:rsidR="00BC0051">
        <w:rPr>
          <w:rStyle w:val="documentbody1"/>
          <w:rFonts w:ascii="Times New Roman" w:hAnsi="Times New Roman"/>
          <w:color w:val="000000"/>
          <w:sz w:val="24"/>
          <w:szCs w:val="24"/>
        </w:rPr>
        <w:t xml:space="preserve"> cases </w:t>
      </w:r>
      <w:r w:rsidR="002B78F4">
        <w:rPr>
          <w:rStyle w:val="documentbody1"/>
          <w:rFonts w:ascii="Times New Roman" w:hAnsi="Times New Roman"/>
          <w:color w:val="000000"/>
          <w:sz w:val="24"/>
          <w:szCs w:val="24"/>
        </w:rPr>
        <w:t xml:space="preserve">wherein the attorneys </w:t>
      </w:r>
      <w:r w:rsidR="00BC0051">
        <w:rPr>
          <w:rStyle w:val="documentbody1"/>
          <w:rFonts w:ascii="Times New Roman" w:hAnsi="Times New Roman"/>
          <w:color w:val="000000"/>
          <w:sz w:val="24"/>
          <w:szCs w:val="24"/>
        </w:rPr>
        <w:t>each received six</w:t>
      </w:r>
      <w:r>
        <w:rPr>
          <w:rStyle w:val="documentbody1"/>
          <w:rFonts w:ascii="Times New Roman" w:hAnsi="Times New Roman"/>
          <w:color w:val="000000"/>
          <w:sz w:val="24"/>
          <w:szCs w:val="24"/>
        </w:rPr>
        <w:t xml:space="preserve"> months</w:t>
      </w:r>
      <w:r w:rsidR="00BC0051">
        <w:rPr>
          <w:rStyle w:val="documentbody1"/>
          <w:rFonts w:ascii="Times New Roman" w:hAnsi="Times New Roman"/>
          <w:color w:val="000000"/>
          <w:sz w:val="24"/>
          <w:szCs w:val="24"/>
        </w:rPr>
        <w:t>’</w:t>
      </w:r>
      <w:r>
        <w:rPr>
          <w:rStyle w:val="documentbody1"/>
          <w:rFonts w:ascii="Times New Roman" w:hAnsi="Times New Roman"/>
          <w:color w:val="000000"/>
          <w:sz w:val="24"/>
          <w:szCs w:val="24"/>
        </w:rPr>
        <w:t xml:space="preserve"> actual suspension.  Howard and Bates also misappropriated approximately the same amount of money as respondent.  However, unlike respondent, Howard and Bates did not restore the funds or pay restitution until they were either threatened with a lawsuit or the State Bar became involved</w:t>
      </w:r>
      <w:r w:rsidR="00BA22A5">
        <w:rPr>
          <w:rStyle w:val="documentbody1"/>
          <w:rFonts w:ascii="Times New Roman" w:hAnsi="Times New Roman"/>
          <w:color w:val="000000"/>
          <w:sz w:val="24"/>
          <w:szCs w:val="24"/>
        </w:rPr>
        <w:t xml:space="preserve">, and Bates made </w:t>
      </w:r>
      <w:r w:rsidR="00E14CF3">
        <w:rPr>
          <w:rStyle w:val="documentbody1"/>
          <w:rFonts w:ascii="Times New Roman" w:hAnsi="Times New Roman"/>
          <w:color w:val="000000"/>
          <w:sz w:val="24"/>
          <w:szCs w:val="24"/>
        </w:rPr>
        <w:t>mis</w:t>
      </w:r>
      <w:r w:rsidR="00BA22A5">
        <w:rPr>
          <w:rStyle w:val="documentbody1"/>
          <w:rFonts w:ascii="Times New Roman" w:hAnsi="Times New Roman"/>
          <w:color w:val="000000"/>
          <w:sz w:val="24"/>
          <w:szCs w:val="24"/>
        </w:rPr>
        <w:t xml:space="preserve">representations about the </w:t>
      </w:r>
      <w:r w:rsidR="00E14CF3">
        <w:rPr>
          <w:rStyle w:val="documentbody1"/>
          <w:rFonts w:ascii="Times New Roman" w:hAnsi="Times New Roman"/>
          <w:color w:val="000000"/>
          <w:sz w:val="24"/>
          <w:szCs w:val="24"/>
        </w:rPr>
        <w:t xml:space="preserve">misappropriated </w:t>
      </w:r>
      <w:r w:rsidR="00BA22A5">
        <w:rPr>
          <w:rStyle w:val="documentbody1"/>
          <w:rFonts w:ascii="Times New Roman" w:hAnsi="Times New Roman"/>
          <w:color w:val="000000"/>
          <w:sz w:val="24"/>
          <w:szCs w:val="24"/>
        </w:rPr>
        <w:t>funds to the client’s subsequent counsel</w:t>
      </w:r>
      <w:r>
        <w:rPr>
          <w:rStyle w:val="documentbody1"/>
          <w:rFonts w:ascii="Times New Roman" w:hAnsi="Times New Roman"/>
          <w:color w:val="000000"/>
          <w:sz w:val="24"/>
          <w:szCs w:val="24"/>
        </w:rPr>
        <w:t xml:space="preserve">.  </w:t>
      </w:r>
      <w:r w:rsidR="00971EE5">
        <w:rPr>
          <w:rStyle w:val="documentbody1"/>
          <w:rFonts w:ascii="Times New Roman" w:hAnsi="Times New Roman"/>
          <w:color w:val="000000"/>
          <w:sz w:val="24"/>
          <w:szCs w:val="24"/>
        </w:rPr>
        <w:t>But</w:t>
      </w:r>
      <w:r w:rsidR="00BA22A5">
        <w:rPr>
          <w:rStyle w:val="documentbody1"/>
          <w:rFonts w:ascii="Times New Roman" w:hAnsi="Times New Roman"/>
          <w:color w:val="000000"/>
          <w:sz w:val="24"/>
          <w:szCs w:val="24"/>
        </w:rPr>
        <w:t xml:space="preserve"> </w:t>
      </w:r>
      <w:r w:rsidR="00971EE5">
        <w:rPr>
          <w:rStyle w:val="documentbody1"/>
          <w:rFonts w:ascii="Times New Roman" w:hAnsi="Times New Roman"/>
          <w:color w:val="000000"/>
          <w:sz w:val="24"/>
          <w:szCs w:val="24"/>
        </w:rPr>
        <w:t xml:space="preserve">Howard and Bates provided </w:t>
      </w:r>
      <w:r>
        <w:rPr>
          <w:rStyle w:val="documentbody1"/>
          <w:rFonts w:ascii="Times New Roman" w:hAnsi="Times New Roman"/>
          <w:color w:val="000000"/>
          <w:sz w:val="24"/>
          <w:szCs w:val="24"/>
        </w:rPr>
        <w:t>proof of serious personal problems such as al</w:t>
      </w:r>
      <w:r w:rsidR="00BA22A5">
        <w:rPr>
          <w:rStyle w:val="documentbody1"/>
          <w:rFonts w:ascii="Times New Roman" w:hAnsi="Times New Roman"/>
          <w:color w:val="000000"/>
          <w:sz w:val="24"/>
          <w:szCs w:val="24"/>
        </w:rPr>
        <w:t xml:space="preserve">coholism </w:t>
      </w:r>
      <w:r w:rsidR="00971EE5">
        <w:rPr>
          <w:rStyle w:val="documentbody1"/>
          <w:rFonts w:ascii="Times New Roman" w:hAnsi="Times New Roman"/>
          <w:color w:val="000000"/>
          <w:sz w:val="24"/>
          <w:szCs w:val="24"/>
        </w:rPr>
        <w:t>that contributed to the misconduct</w:t>
      </w:r>
      <w:r w:rsidR="00EA4EDA">
        <w:rPr>
          <w:rStyle w:val="documentbody1"/>
          <w:rFonts w:ascii="Times New Roman" w:hAnsi="Times New Roman"/>
          <w:color w:val="000000"/>
          <w:sz w:val="24"/>
          <w:szCs w:val="24"/>
        </w:rPr>
        <w:t>,</w:t>
      </w:r>
      <w:r w:rsidR="00971EE5">
        <w:rPr>
          <w:rStyle w:val="documentbody1"/>
          <w:rFonts w:ascii="Times New Roman" w:hAnsi="Times New Roman"/>
          <w:color w:val="000000"/>
          <w:sz w:val="24"/>
          <w:szCs w:val="24"/>
        </w:rPr>
        <w:t xml:space="preserve"> and </w:t>
      </w:r>
      <w:r w:rsidR="00E002F4">
        <w:rPr>
          <w:rStyle w:val="documentbody1"/>
          <w:rFonts w:ascii="Times New Roman" w:hAnsi="Times New Roman"/>
          <w:color w:val="000000"/>
          <w:sz w:val="24"/>
          <w:szCs w:val="24"/>
        </w:rPr>
        <w:t xml:space="preserve">clear </w:t>
      </w:r>
      <w:r w:rsidR="002B78F4">
        <w:rPr>
          <w:rStyle w:val="documentbody1"/>
          <w:rFonts w:ascii="Times New Roman" w:hAnsi="Times New Roman"/>
          <w:color w:val="000000"/>
          <w:sz w:val="24"/>
          <w:szCs w:val="24"/>
        </w:rPr>
        <w:t xml:space="preserve">and convincing </w:t>
      </w:r>
      <w:r w:rsidR="00E002F4">
        <w:rPr>
          <w:rStyle w:val="documentbody1"/>
          <w:rFonts w:ascii="Times New Roman" w:hAnsi="Times New Roman"/>
          <w:color w:val="000000"/>
          <w:sz w:val="24"/>
          <w:szCs w:val="24"/>
        </w:rPr>
        <w:t xml:space="preserve">evidence that </w:t>
      </w:r>
      <w:r w:rsidR="00E002F4">
        <w:rPr>
          <w:rStyle w:val="documentbody1"/>
          <w:rFonts w:ascii="Times New Roman" w:hAnsi="Times New Roman"/>
          <w:color w:val="000000"/>
          <w:sz w:val="24"/>
          <w:szCs w:val="24"/>
        </w:rPr>
        <w:lastRenderedPageBreak/>
        <w:t xml:space="preserve">their addictions were under control.  Respondent, on the other hand, has provided no </w:t>
      </w:r>
      <w:r w:rsidR="00393375">
        <w:rPr>
          <w:rStyle w:val="documentbody1"/>
          <w:rFonts w:ascii="Times New Roman" w:hAnsi="Times New Roman"/>
          <w:color w:val="000000"/>
          <w:sz w:val="24"/>
          <w:szCs w:val="24"/>
        </w:rPr>
        <w:t>admissible evidence to explain</w:t>
      </w:r>
      <w:r w:rsidR="00E002F4">
        <w:rPr>
          <w:rStyle w:val="documentbody1"/>
          <w:rFonts w:ascii="Times New Roman" w:hAnsi="Times New Roman"/>
          <w:color w:val="000000"/>
          <w:sz w:val="24"/>
          <w:szCs w:val="24"/>
        </w:rPr>
        <w:t xml:space="preserve"> his wrongdoing</w:t>
      </w:r>
      <w:r w:rsidR="002B78F4">
        <w:rPr>
          <w:rStyle w:val="documentbody1"/>
          <w:rFonts w:ascii="Times New Roman" w:hAnsi="Times New Roman"/>
          <w:color w:val="000000"/>
          <w:sz w:val="24"/>
          <w:szCs w:val="24"/>
        </w:rPr>
        <w:t xml:space="preserve">.  </w:t>
      </w:r>
      <w:r w:rsidR="00EA4EDA">
        <w:rPr>
          <w:rStyle w:val="documentbody1"/>
          <w:rFonts w:ascii="Times New Roman" w:hAnsi="Times New Roman"/>
          <w:color w:val="000000"/>
          <w:sz w:val="24"/>
          <w:szCs w:val="24"/>
        </w:rPr>
        <w:t xml:space="preserve">In fact, despite the numerous continuances at respondent’s request, he was unable to properly and sufficiently present his case in mitigation </w:t>
      </w:r>
      <w:r w:rsidR="006C051B">
        <w:rPr>
          <w:rStyle w:val="documentbody1"/>
          <w:rFonts w:ascii="Times New Roman" w:hAnsi="Times New Roman"/>
          <w:color w:val="000000"/>
          <w:sz w:val="24"/>
          <w:szCs w:val="24"/>
        </w:rPr>
        <w:t>in the hearing department</w:t>
      </w:r>
      <w:r w:rsidR="00EA4EDA">
        <w:rPr>
          <w:rStyle w:val="documentbody1"/>
          <w:rFonts w:ascii="Times New Roman" w:hAnsi="Times New Roman"/>
          <w:color w:val="000000"/>
          <w:sz w:val="24"/>
          <w:szCs w:val="24"/>
        </w:rPr>
        <w:t xml:space="preserve">.  </w:t>
      </w:r>
      <w:r w:rsidR="00A4289F">
        <w:rPr>
          <w:rStyle w:val="documentbody1"/>
          <w:rFonts w:ascii="Times New Roman" w:hAnsi="Times New Roman"/>
          <w:color w:val="000000"/>
          <w:sz w:val="24"/>
          <w:szCs w:val="24"/>
        </w:rPr>
        <w:t xml:space="preserve">And while </w:t>
      </w:r>
      <w:r w:rsidR="002B78F4">
        <w:rPr>
          <w:rStyle w:val="documentbody1"/>
          <w:rFonts w:ascii="Times New Roman" w:hAnsi="Times New Roman"/>
          <w:color w:val="000000"/>
          <w:sz w:val="24"/>
          <w:szCs w:val="24"/>
        </w:rPr>
        <w:t xml:space="preserve">there is clear evidence that respondent </w:t>
      </w:r>
      <w:r w:rsidR="00A4289F">
        <w:rPr>
          <w:rStyle w:val="documentbody1"/>
          <w:rFonts w:ascii="Times New Roman" w:hAnsi="Times New Roman"/>
          <w:color w:val="000000"/>
          <w:sz w:val="24"/>
          <w:szCs w:val="24"/>
        </w:rPr>
        <w:t xml:space="preserve">failed to properly </w:t>
      </w:r>
      <w:r w:rsidR="002B78F4">
        <w:rPr>
          <w:rStyle w:val="documentbody1"/>
          <w:rFonts w:ascii="Times New Roman" w:hAnsi="Times New Roman"/>
          <w:color w:val="000000"/>
          <w:sz w:val="24"/>
          <w:szCs w:val="24"/>
        </w:rPr>
        <w:t>manag</w:t>
      </w:r>
      <w:r w:rsidR="00A4289F">
        <w:rPr>
          <w:rStyle w:val="documentbody1"/>
          <w:rFonts w:ascii="Times New Roman" w:hAnsi="Times New Roman"/>
          <w:color w:val="000000"/>
          <w:sz w:val="24"/>
          <w:szCs w:val="24"/>
        </w:rPr>
        <w:t>e</w:t>
      </w:r>
      <w:r w:rsidR="002B78F4">
        <w:rPr>
          <w:rStyle w:val="documentbody1"/>
          <w:rFonts w:ascii="Times New Roman" w:hAnsi="Times New Roman"/>
          <w:color w:val="000000"/>
          <w:sz w:val="24"/>
          <w:szCs w:val="24"/>
        </w:rPr>
        <w:t xml:space="preserve"> his trust account</w:t>
      </w:r>
      <w:r w:rsidR="00A4289F">
        <w:rPr>
          <w:rStyle w:val="documentbody1"/>
          <w:rFonts w:ascii="Times New Roman" w:hAnsi="Times New Roman"/>
          <w:color w:val="000000"/>
          <w:sz w:val="24"/>
          <w:szCs w:val="24"/>
        </w:rPr>
        <w:t xml:space="preserve"> and maintain records</w:t>
      </w:r>
      <w:r w:rsidR="002B78F4">
        <w:rPr>
          <w:rStyle w:val="documentbody1"/>
          <w:rFonts w:ascii="Times New Roman" w:hAnsi="Times New Roman"/>
          <w:color w:val="000000"/>
          <w:sz w:val="24"/>
          <w:szCs w:val="24"/>
        </w:rPr>
        <w:t xml:space="preserve">, there is </w:t>
      </w:r>
      <w:r w:rsidR="00E002F4">
        <w:rPr>
          <w:rStyle w:val="documentbody1"/>
          <w:rFonts w:ascii="Times New Roman" w:hAnsi="Times New Roman"/>
          <w:color w:val="000000"/>
          <w:sz w:val="24"/>
          <w:szCs w:val="24"/>
        </w:rPr>
        <w:t>no evidence that the</w:t>
      </w:r>
      <w:r w:rsidR="002B78F4">
        <w:rPr>
          <w:rStyle w:val="documentbody1"/>
          <w:rFonts w:ascii="Times New Roman" w:hAnsi="Times New Roman"/>
          <w:color w:val="000000"/>
          <w:sz w:val="24"/>
          <w:szCs w:val="24"/>
        </w:rPr>
        <w:t>se</w:t>
      </w:r>
      <w:r w:rsidR="00E002F4">
        <w:rPr>
          <w:rStyle w:val="documentbody1"/>
          <w:rFonts w:ascii="Times New Roman" w:hAnsi="Times New Roman"/>
          <w:color w:val="000000"/>
          <w:sz w:val="24"/>
          <w:szCs w:val="24"/>
        </w:rPr>
        <w:t xml:space="preserve"> problems </w:t>
      </w:r>
      <w:r w:rsidR="002B78F4">
        <w:rPr>
          <w:rStyle w:val="documentbody1"/>
          <w:rFonts w:ascii="Times New Roman" w:hAnsi="Times New Roman"/>
          <w:color w:val="000000"/>
          <w:sz w:val="24"/>
          <w:szCs w:val="24"/>
        </w:rPr>
        <w:t>have been corrected</w:t>
      </w:r>
      <w:r w:rsidR="00EA4EDA">
        <w:rPr>
          <w:rStyle w:val="documentbody1"/>
          <w:rFonts w:ascii="Times New Roman" w:hAnsi="Times New Roman"/>
          <w:color w:val="000000"/>
          <w:sz w:val="24"/>
          <w:szCs w:val="24"/>
        </w:rPr>
        <w:t>.</w:t>
      </w:r>
      <w:r w:rsidR="00BA22A5">
        <w:rPr>
          <w:rStyle w:val="documentbody1"/>
          <w:rFonts w:ascii="Times New Roman" w:hAnsi="Times New Roman"/>
          <w:color w:val="000000"/>
          <w:sz w:val="24"/>
          <w:szCs w:val="24"/>
        </w:rPr>
        <w:t xml:space="preserve"> </w:t>
      </w:r>
    </w:p>
    <w:p w:rsidR="00F51C53" w:rsidRDefault="00957890" w:rsidP="00393375">
      <w:pPr>
        <w:spacing w:line="480" w:lineRule="auto"/>
      </w:pPr>
      <w:r>
        <w:tab/>
      </w:r>
      <w:r w:rsidR="00E14CF3">
        <w:rPr>
          <w:rStyle w:val="documentbody1"/>
          <w:rFonts w:ascii="Times New Roman" w:hAnsi="Times New Roman"/>
          <w:color w:val="000000"/>
          <w:sz w:val="24"/>
          <w:szCs w:val="24"/>
        </w:rPr>
        <w:t>We note that r</w:t>
      </w:r>
      <w:r w:rsidR="00C921C6">
        <w:rPr>
          <w:rStyle w:val="documentbody1"/>
          <w:rFonts w:ascii="Times New Roman" w:hAnsi="Times New Roman"/>
          <w:color w:val="000000"/>
          <w:sz w:val="24"/>
          <w:szCs w:val="24"/>
        </w:rPr>
        <w:t xml:space="preserve">espondent’s culpability </w:t>
      </w:r>
      <w:r w:rsidR="00393375">
        <w:rPr>
          <w:rStyle w:val="documentbody1"/>
          <w:rFonts w:ascii="Times New Roman" w:hAnsi="Times New Roman"/>
          <w:color w:val="000000"/>
          <w:sz w:val="24"/>
          <w:szCs w:val="24"/>
        </w:rPr>
        <w:t xml:space="preserve">solely </w:t>
      </w:r>
      <w:r w:rsidR="00C921C6">
        <w:rPr>
          <w:rStyle w:val="documentbody1"/>
          <w:rFonts w:ascii="Times New Roman" w:hAnsi="Times New Roman"/>
          <w:color w:val="000000"/>
          <w:sz w:val="24"/>
          <w:szCs w:val="24"/>
        </w:rPr>
        <w:t>for commingling his</w:t>
      </w:r>
      <w:r w:rsidR="00E14CF3">
        <w:rPr>
          <w:rStyle w:val="documentbody1"/>
          <w:rFonts w:ascii="Times New Roman" w:hAnsi="Times New Roman"/>
          <w:color w:val="000000"/>
          <w:sz w:val="24"/>
          <w:szCs w:val="24"/>
        </w:rPr>
        <w:t xml:space="preserve"> personal</w:t>
      </w:r>
      <w:r w:rsidR="00C921C6">
        <w:rPr>
          <w:rStyle w:val="documentbody1"/>
          <w:rFonts w:ascii="Times New Roman" w:hAnsi="Times New Roman"/>
          <w:color w:val="000000"/>
          <w:sz w:val="24"/>
          <w:szCs w:val="24"/>
        </w:rPr>
        <w:t xml:space="preserve"> funds with the funds in the CTA in violation of rule 4-100</w:t>
      </w:r>
      <w:r w:rsidR="00E14CF3">
        <w:rPr>
          <w:rStyle w:val="documentbody1"/>
          <w:rFonts w:ascii="Times New Roman" w:hAnsi="Times New Roman"/>
          <w:color w:val="000000"/>
          <w:sz w:val="24"/>
          <w:szCs w:val="24"/>
        </w:rPr>
        <w:t xml:space="preserve"> would justify</w:t>
      </w:r>
      <w:r w:rsidR="006A6AFD">
        <w:rPr>
          <w:rStyle w:val="documentbody1"/>
          <w:rFonts w:ascii="Times New Roman" w:hAnsi="Times New Roman"/>
          <w:color w:val="000000"/>
          <w:sz w:val="24"/>
          <w:szCs w:val="24"/>
        </w:rPr>
        <w:t xml:space="preserve"> a three-month</w:t>
      </w:r>
      <w:r w:rsidR="00C921C6">
        <w:rPr>
          <w:rStyle w:val="documentbody1"/>
          <w:rFonts w:ascii="Times New Roman" w:hAnsi="Times New Roman"/>
          <w:color w:val="000000"/>
          <w:sz w:val="24"/>
          <w:szCs w:val="24"/>
        </w:rPr>
        <w:t xml:space="preserve"> actual suspension.  (</w:t>
      </w:r>
      <w:r w:rsidR="0085773B">
        <w:rPr>
          <w:rStyle w:val="documentbody1"/>
          <w:rFonts w:ascii="Times New Roman" w:hAnsi="Times New Roman"/>
          <w:color w:val="000000"/>
          <w:sz w:val="24"/>
          <w:szCs w:val="24"/>
        </w:rPr>
        <w:t>S</w:t>
      </w:r>
      <w:r w:rsidR="00C921C6">
        <w:rPr>
          <w:rStyle w:val="documentbody1"/>
          <w:rFonts w:ascii="Times New Roman" w:hAnsi="Times New Roman"/>
          <w:color w:val="000000"/>
          <w:sz w:val="24"/>
          <w:szCs w:val="24"/>
        </w:rPr>
        <w:t>td. 2</w:t>
      </w:r>
      <w:r w:rsidR="00E30379">
        <w:rPr>
          <w:rStyle w:val="documentbody1"/>
          <w:rFonts w:ascii="Times New Roman" w:hAnsi="Times New Roman"/>
          <w:color w:val="000000"/>
          <w:sz w:val="24"/>
          <w:szCs w:val="24"/>
        </w:rPr>
        <w:t>.2(b).)  However</w:t>
      </w:r>
      <w:r w:rsidR="00C921C6">
        <w:rPr>
          <w:rStyle w:val="documentbody1"/>
          <w:rFonts w:ascii="Times New Roman" w:hAnsi="Times New Roman"/>
          <w:color w:val="000000"/>
          <w:sz w:val="24"/>
          <w:szCs w:val="24"/>
        </w:rPr>
        <w:t>,</w:t>
      </w:r>
      <w:r w:rsidR="00E14CF3">
        <w:rPr>
          <w:rStyle w:val="documentbody1"/>
          <w:rFonts w:ascii="Times New Roman" w:hAnsi="Times New Roman"/>
          <w:color w:val="000000"/>
          <w:sz w:val="24"/>
          <w:szCs w:val="24"/>
        </w:rPr>
        <w:t xml:space="preserve"> respondent’s </w:t>
      </w:r>
      <w:r w:rsidR="000A0D7D" w:rsidRPr="000A0D7D">
        <w:t>wil</w:t>
      </w:r>
      <w:r w:rsidR="000A0D7D">
        <w:t>l</w:t>
      </w:r>
      <w:r w:rsidR="000A0D7D" w:rsidRPr="000A0D7D">
        <w:t xml:space="preserve">ful </w:t>
      </w:r>
      <w:bookmarkStart w:id="12" w:name="SR;2218"/>
      <w:bookmarkEnd w:id="12"/>
      <w:r w:rsidR="000A0D7D" w:rsidRPr="000A0D7D">
        <w:t>misappropriation of client funds</w:t>
      </w:r>
      <w:r w:rsidR="00E97712">
        <w:t xml:space="preserve"> in violation of section 6106</w:t>
      </w:r>
      <w:r w:rsidR="00F17E14">
        <w:t xml:space="preserve"> “</w:t>
      </w:r>
      <w:r w:rsidR="000A0D7D" w:rsidRPr="000A0D7D">
        <w:t xml:space="preserve">is not a mere technical lapse, but a </w:t>
      </w:r>
      <w:bookmarkStart w:id="13" w:name="SR;2241"/>
      <w:bookmarkEnd w:id="13"/>
      <w:r w:rsidR="000A0D7D" w:rsidRPr="000A0D7D">
        <w:t>serious breach of duties of ancient vintage that are i</w:t>
      </w:r>
      <w:r w:rsidR="000A0D7D">
        <w:t>ndispensable to communal life.  [Citation.]”  (</w:t>
      </w:r>
      <w:r w:rsidR="000A0D7D">
        <w:rPr>
          <w:i/>
        </w:rPr>
        <w:t>Howard v. State Bar</w:t>
      </w:r>
      <w:r w:rsidR="00CF1F6A">
        <w:t xml:space="preserve">, </w:t>
      </w:r>
      <w:r w:rsidR="00CF1F6A" w:rsidRPr="00CF1F6A">
        <w:rPr>
          <w:i/>
        </w:rPr>
        <w:t>supra</w:t>
      </w:r>
      <w:r w:rsidR="00CF1F6A">
        <w:t xml:space="preserve">, </w:t>
      </w:r>
      <w:r w:rsidR="000A0D7D">
        <w:t xml:space="preserve">51 Cal.3d </w:t>
      </w:r>
      <w:r w:rsidR="00CF1F6A">
        <w:t xml:space="preserve">at p. </w:t>
      </w:r>
      <w:r w:rsidR="000A0D7D">
        <w:t>221.)</w:t>
      </w:r>
      <w:bookmarkEnd w:id="11"/>
      <w:r w:rsidR="00C921C6">
        <w:rPr>
          <w:rStyle w:val="documentbody1"/>
          <w:rFonts w:ascii="Times New Roman" w:hAnsi="Times New Roman"/>
          <w:sz w:val="24"/>
          <w:szCs w:val="24"/>
        </w:rPr>
        <w:t xml:space="preserve">  </w:t>
      </w:r>
      <w:r w:rsidR="00E97712">
        <w:rPr>
          <w:rStyle w:val="documentbody1"/>
          <w:rFonts w:ascii="Times New Roman" w:hAnsi="Times New Roman"/>
          <w:sz w:val="24"/>
          <w:szCs w:val="24"/>
        </w:rPr>
        <w:t>W</w:t>
      </w:r>
      <w:r w:rsidR="00EA4EDA">
        <w:rPr>
          <w:rStyle w:val="documentbody1"/>
          <w:rFonts w:ascii="Times New Roman" w:hAnsi="Times New Roman"/>
          <w:color w:val="000000"/>
          <w:sz w:val="24"/>
          <w:szCs w:val="24"/>
        </w:rPr>
        <w:t xml:space="preserve">e find that respondent’s lengthy years of </w:t>
      </w:r>
      <w:r w:rsidR="00804713">
        <w:rPr>
          <w:rStyle w:val="documentbody1"/>
          <w:rFonts w:ascii="Times New Roman" w:hAnsi="Times New Roman"/>
          <w:color w:val="000000"/>
          <w:sz w:val="24"/>
          <w:szCs w:val="24"/>
        </w:rPr>
        <w:t xml:space="preserve">discipline-free </w:t>
      </w:r>
      <w:r w:rsidR="00EA4EDA">
        <w:rPr>
          <w:rStyle w:val="documentbody1"/>
          <w:rFonts w:ascii="Times New Roman" w:hAnsi="Times New Roman"/>
          <w:color w:val="000000"/>
          <w:sz w:val="24"/>
          <w:szCs w:val="24"/>
        </w:rPr>
        <w:t xml:space="preserve">practice, his candor and cooperation during these proceedings and the rather short one-month period of the CTA violations, provide sufficient extenuating circumstances to justify our departure from the one-year actual suspension specified in standard 2.2(a).  </w:t>
      </w:r>
      <w:r w:rsidR="009553AF">
        <w:rPr>
          <w:rStyle w:val="documentbody1"/>
          <w:rFonts w:ascii="Times New Roman" w:hAnsi="Times New Roman"/>
          <w:color w:val="000000"/>
          <w:sz w:val="24"/>
          <w:szCs w:val="24"/>
        </w:rPr>
        <w:t>Nonetheless, b</w:t>
      </w:r>
      <w:r w:rsidR="00F17E14">
        <w:rPr>
          <w:rStyle w:val="documentbody1"/>
          <w:rFonts w:ascii="Times New Roman" w:hAnsi="Times New Roman"/>
          <w:sz w:val="24"/>
          <w:szCs w:val="24"/>
        </w:rPr>
        <w:t xml:space="preserve">ased on the </w:t>
      </w:r>
      <w:r w:rsidR="008D02D3">
        <w:rPr>
          <w:rStyle w:val="documentbody1"/>
          <w:rFonts w:ascii="Times New Roman" w:hAnsi="Times New Roman"/>
          <w:sz w:val="24"/>
          <w:szCs w:val="24"/>
        </w:rPr>
        <w:t xml:space="preserve">limited </w:t>
      </w:r>
      <w:r w:rsidR="00F17E14">
        <w:rPr>
          <w:rStyle w:val="documentbody1"/>
          <w:rFonts w:ascii="Times New Roman" w:hAnsi="Times New Roman"/>
          <w:sz w:val="24"/>
          <w:szCs w:val="24"/>
        </w:rPr>
        <w:t xml:space="preserve">record before us, </w:t>
      </w:r>
      <w:r w:rsidR="001766DD">
        <w:rPr>
          <w:rStyle w:val="documentbody1"/>
          <w:rFonts w:ascii="Times New Roman" w:hAnsi="Times New Roman"/>
          <w:sz w:val="24"/>
          <w:szCs w:val="24"/>
        </w:rPr>
        <w:t xml:space="preserve">we find that </w:t>
      </w:r>
      <w:r w:rsidR="0085773B">
        <w:rPr>
          <w:color w:val="000000"/>
        </w:rPr>
        <w:t>“public confidence in the legal profession would be undermined”</w:t>
      </w:r>
      <w:r w:rsidR="001766DD">
        <w:rPr>
          <w:color w:val="000000"/>
        </w:rPr>
        <w:t xml:space="preserve"> if we were to recommend less than six months actual suspension for wi</w:t>
      </w:r>
      <w:r w:rsidR="00804713">
        <w:rPr>
          <w:color w:val="000000"/>
        </w:rPr>
        <w:t>llful misappropriation of entrusted</w:t>
      </w:r>
      <w:r w:rsidR="001766DD">
        <w:rPr>
          <w:color w:val="000000"/>
        </w:rPr>
        <w:t xml:space="preserve"> funds. </w:t>
      </w:r>
      <w:r w:rsidR="0085773B">
        <w:rPr>
          <w:color w:val="000000"/>
        </w:rPr>
        <w:t xml:space="preserve"> (</w:t>
      </w:r>
      <w:r w:rsidR="008358B3">
        <w:rPr>
          <w:i/>
        </w:rPr>
        <w:t>Id.</w:t>
      </w:r>
      <w:r w:rsidR="006A6AFD">
        <w:rPr>
          <w:i/>
        </w:rPr>
        <w:t xml:space="preserve"> </w:t>
      </w:r>
      <w:r w:rsidR="006A6AFD">
        <w:t>at p. 223.</w:t>
      </w:r>
      <w:r w:rsidR="0085773B">
        <w:t>)</w:t>
      </w:r>
      <w:r w:rsidR="0085773B">
        <w:rPr>
          <w:color w:val="000000"/>
        </w:rPr>
        <w:t xml:space="preserve"> </w:t>
      </w:r>
      <w:r w:rsidR="00350F9A">
        <w:rPr>
          <w:color w:val="000000"/>
        </w:rPr>
        <w:t xml:space="preserve"> </w:t>
      </w:r>
      <w:r w:rsidR="00B1592F">
        <w:rPr>
          <w:rStyle w:val="documentbody1"/>
          <w:rFonts w:ascii="Times New Roman" w:hAnsi="Times New Roman"/>
          <w:color w:val="000000"/>
          <w:sz w:val="24"/>
          <w:szCs w:val="24"/>
        </w:rPr>
        <w:t>Thus, u</w:t>
      </w:r>
      <w:r w:rsidR="00ED4C57" w:rsidRPr="00ED4C57">
        <w:rPr>
          <w:rStyle w:val="documentbody1"/>
          <w:rFonts w:ascii="Times New Roman" w:hAnsi="Times New Roman"/>
          <w:color w:val="000000"/>
          <w:sz w:val="24"/>
          <w:szCs w:val="24"/>
        </w:rPr>
        <w:t>pon independent review of the record an</w:t>
      </w:r>
      <w:r w:rsidR="00B1592F">
        <w:rPr>
          <w:rStyle w:val="documentbody1"/>
          <w:rFonts w:ascii="Times New Roman" w:hAnsi="Times New Roman"/>
          <w:color w:val="000000"/>
          <w:sz w:val="24"/>
          <w:szCs w:val="24"/>
        </w:rPr>
        <w:t>d analysis of relevant case law</w:t>
      </w:r>
      <w:r w:rsidR="00E47869">
        <w:rPr>
          <w:rStyle w:val="documentbody1"/>
          <w:rFonts w:ascii="Times New Roman" w:hAnsi="Times New Roman"/>
          <w:color w:val="000000"/>
          <w:sz w:val="24"/>
          <w:szCs w:val="24"/>
        </w:rPr>
        <w:t xml:space="preserve">, we determine that the </w:t>
      </w:r>
      <w:r w:rsidR="00E47869">
        <w:t>appropriate degree of discipline is suspens</w:t>
      </w:r>
      <w:r w:rsidR="00867D64">
        <w:t>ion for two</w:t>
      </w:r>
      <w:r w:rsidR="00E47869">
        <w:t xml:space="preserve"> years, stayed, on conditions including </w:t>
      </w:r>
      <w:r w:rsidR="00BC0051">
        <w:t>six</w:t>
      </w:r>
      <w:r w:rsidR="00C921C6">
        <w:t xml:space="preserve"> months</w:t>
      </w:r>
      <w:r w:rsidR="00BC0051">
        <w:t>’</w:t>
      </w:r>
      <w:r w:rsidR="00E47869">
        <w:t xml:space="preserve"> actual suspension</w:t>
      </w:r>
      <w:r w:rsidR="00867D64">
        <w:t>.</w:t>
      </w:r>
    </w:p>
    <w:p w:rsidR="00DA714F" w:rsidRDefault="00393375" w:rsidP="00393375">
      <w:pPr>
        <w:spacing w:line="480" w:lineRule="auto"/>
        <w:jc w:val="center"/>
        <w:rPr>
          <w:b/>
        </w:rPr>
      </w:pPr>
      <w:r>
        <w:rPr>
          <w:b/>
        </w:rPr>
        <w:t>V</w:t>
      </w:r>
      <w:r w:rsidR="00F51C53">
        <w:rPr>
          <w:b/>
        </w:rPr>
        <w:t>I</w:t>
      </w:r>
      <w:r w:rsidR="00067A37" w:rsidRPr="00CE1275">
        <w:rPr>
          <w:b/>
        </w:rPr>
        <w:t>.  RECOMMENDATION</w:t>
      </w:r>
    </w:p>
    <w:p w:rsidR="00067A37" w:rsidRDefault="00067A37" w:rsidP="00393375">
      <w:pPr>
        <w:spacing w:line="480" w:lineRule="auto"/>
      </w:pPr>
      <w:r>
        <w:rPr>
          <w:b/>
          <w:bCs/>
        </w:rPr>
        <w:tab/>
      </w:r>
      <w:r>
        <w:t xml:space="preserve">For the foregoing reasons, we recommend that respondent </w:t>
      </w:r>
      <w:r w:rsidR="006A6AFD">
        <w:t>Theodore Carl Luebkeman</w:t>
      </w:r>
      <w:r>
        <w:t xml:space="preserve"> be suspended from the practice of law in the State of California for two years, that execution of that suspension by stayed, and that respondent be placed on probation for two years on the following conditions:</w:t>
      </w:r>
    </w:p>
    <w:p w:rsidR="00067A37" w:rsidRDefault="00067A37" w:rsidP="00F51C53">
      <w:pPr>
        <w:pStyle w:val="BodyTextIndent2"/>
      </w:pPr>
      <w:r>
        <w:lastRenderedPageBreak/>
        <w:t xml:space="preserve">1.  That respondent be actually suspended from the practice of law in the State of California during the first </w:t>
      </w:r>
      <w:r w:rsidR="00350F9A">
        <w:t xml:space="preserve">six months </w:t>
      </w:r>
      <w:r>
        <w:t>of the period of his probation.</w:t>
      </w:r>
    </w:p>
    <w:p w:rsidR="00067A37" w:rsidRDefault="00067A37" w:rsidP="00F51C53"/>
    <w:p w:rsidR="00067A37" w:rsidRDefault="00165B19" w:rsidP="00F51C53">
      <w:pPr>
        <w:ind w:left="720"/>
      </w:pPr>
      <w:r>
        <w:t>2</w:t>
      </w:r>
      <w:r w:rsidR="00067A37">
        <w:t>.  Respondent must comply with the provisions of the State Bar Act, the Rules of Professional Conduct, and all of the conditions of this probation.</w:t>
      </w:r>
    </w:p>
    <w:p w:rsidR="00067A37" w:rsidRDefault="00067A37" w:rsidP="00F51C53"/>
    <w:p w:rsidR="00067A37" w:rsidRDefault="00165B19" w:rsidP="00F51C53">
      <w:pPr>
        <w:ind w:left="720"/>
      </w:pPr>
      <w:r>
        <w:t>3</w:t>
      </w:r>
      <w:r w:rsidR="00067A37">
        <w:t xml:space="preserve">.  Respondent must maintain, with the State Bar Membership Records Office and the State Bar’s Office of Probation in Los Angeles, his current office address and telephone number or, </w:t>
      </w:r>
      <w:r w:rsidR="00067A37">
        <w:rPr>
          <w:i/>
          <w:iCs/>
        </w:rPr>
        <w:t>if no office is maintained</w:t>
      </w:r>
      <w:r w:rsidR="00067A37">
        <w:t xml:space="preserve">, an address to be used for State Bar purposes.  (Bus. &amp; Prof. Code, § 6002.1, subd. (a)(1).)   Respondent must also maintain, with the State Bar’s Membership Records Office </w:t>
      </w:r>
      <w:r w:rsidR="00067A37">
        <w:rPr>
          <w:i/>
          <w:iCs/>
        </w:rPr>
        <w:t>and</w:t>
      </w:r>
      <w:r w:rsidR="00067A37">
        <w:t xml:space="preserve"> the State Bar’s Office of Probation in Los Angeles, his current home address and telephone number.  (Bus. &amp; Prof. Code, § 6002.1, subd. (a)(5).)  Respondent’s home address and telephone number will </w:t>
      </w:r>
      <w:r w:rsidR="00067A37">
        <w:rPr>
          <w:i/>
          <w:iCs/>
        </w:rPr>
        <w:t>not</w:t>
      </w:r>
      <w:r w:rsidR="00067A37">
        <w:t xml:space="preserve"> be made available to the general public.  (Bus. &amp; Prof. Code, § 6002.1, subd. (d).)  Respondent must notify the Membership Records Office and the Office of Probation of any change in any of this information no later than 10 days after the change.</w:t>
      </w:r>
    </w:p>
    <w:p w:rsidR="00067A37" w:rsidRDefault="00067A37" w:rsidP="00F51C53">
      <w:pPr>
        <w:ind w:left="720"/>
      </w:pPr>
    </w:p>
    <w:p w:rsidR="00067A37" w:rsidRDefault="00165B19" w:rsidP="00F51C53">
      <w:pPr>
        <w:ind w:left="720"/>
      </w:pPr>
      <w:r>
        <w:t>4</w:t>
      </w:r>
      <w:r w:rsidR="00067A37">
        <w:t xml:space="preserve">.  Respondent must submit written quarterly reports to the Office of Probation on each January 10, April 10, July 10, and October 10 of the period of probation.  Under penalty of perjury, respondent must state whether respondent has complied with the State Bar Act, the Rules of Professional Conduct, and all conditions of probation during the preceding calendar quarter.  If the first report will cover less than thirty (30) days, that report must be submitted on the next following quarter date, and cover the extended period.  In addition to all quarterly reports, a final report, containing the same information, is due no earlier than twenty (20) days before the last day of the probation period and no later than the last day of the probation period. </w:t>
      </w:r>
    </w:p>
    <w:p w:rsidR="00181212" w:rsidRDefault="00181212" w:rsidP="00F51C53">
      <w:pPr>
        <w:ind w:left="720"/>
      </w:pPr>
    </w:p>
    <w:p w:rsidR="00181212" w:rsidRDefault="00F51C53" w:rsidP="00F51C53">
      <w:pPr>
        <w:ind w:left="720"/>
      </w:pPr>
      <w:r>
        <w:t>5.  Reporting requirements:</w:t>
      </w:r>
    </w:p>
    <w:p w:rsidR="00F51C53" w:rsidRDefault="00F51C53" w:rsidP="00F51C53">
      <w:pPr>
        <w:ind w:left="1440" w:hanging="720"/>
      </w:pPr>
      <w:r>
        <w:t xml:space="preserve">     </w:t>
      </w:r>
      <w:r>
        <w:tab/>
      </w:r>
      <w:r w:rsidR="00181212">
        <w:t>a.</w:t>
      </w:r>
      <w:r>
        <w:t xml:space="preserve">  </w:t>
      </w:r>
      <w:r w:rsidR="00181212">
        <w:t xml:space="preserve">If respondent possesses client funds at any time during the period </w:t>
      </w:r>
      <w:r>
        <w:t xml:space="preserve">covered by a </w:t>
      </w:r>
      <w:r w:rsidR="00181212">
        <w:t xml:space="preserve">required quarterly report, respondent shall file with </w:t>
      </w:r>
      <w:r>
        <w:t xml:space="preserve">each </w:t>
      </w:r>
      <w:r w:rsidR="00181212">
        <w:t>required report a certificate from respondent, certifying that: respondent has maintained a bank account in a bank au</w:t>
      </w:r>
      <w:r>
        <w:t xml:space="preserve">thorized to do business in the </w:t>
      </w:r>
      <w:r w:rsidR="00181212">
        <w:t>State of California, at a branch located withi</w:t>
      </w:r>
      <w:r>
        <w:t xml:space="preserve">n the State of California, and </w:t>
      </w:r>
      <w:r w:rsidR="00181212">
        <w:t xml:space="preserve">that such account is designated as a “Trust Account” or “Client’s Funds </w:t>
      </w:r>
      <w:r w:rsidR="00181212">
        <w:tab/>
        <w:t>Account”; and respondent has kept and maintained the following:</w:t>
      </w:r>
    </w:p>
    <w:p w:rsidR="00F51C53" w:rsidRDefault="00181212" w:rsidP="00F51C53">
      <w:r>
        <w:tab/>
      </w:r>
      <w:r>
        <w:tab/>
      </w:r>
      <w:r w:rsidR="00F51C53">
        <w:tab/>
      </w:r>
      <w:r>
        <w:t>i.</w:t>
      </w:r>
      <w:r w:rsidR="00F51C53">
        <w:t xml:space="preserve">  </w:t>
      </w:r>
      <w:r>
        <w:t xml:space="preserve">a written ledger for each client on whose behalf funds are held that sets </w:t>
      </w:r>
      <w:r>
        <w:tab/>
      </w:r>
      <w:r>
        <w:tab/>
      </w:r>
      <w:r>
        <w:tab/>
      </w:r>
      <w:r>
        <w:tab/>
        <w:t>forth:</w:t>
      </w:r>
    </w:p>
    <w:p w:rsidR="00181212" w:rsidRDefault="00181212" w:rsidP="00F51C53">
      <w:r>
        <w:tab/>
      </w:r>
      <w:r>
        <w:tab/>
      </w:r>
      <w:r>
        <w:tab/>
      </w:r>
      <w:r w:rsidR="00F51C53">
        <w:tab/>
      </w:r>
      <w:r>
        <w:t>1.</w:t>
      </w:r>
      <w:r w:rsidR="00F51C53">
        <w:t xml:space="preserve">  </w:t>
      </w:r>
      <w:r>
        <w:t>the name of such client,</w:t>
      </w:r>
    </w:p>
    <w:p w:rsidR="00181212" w:rsidRDefault="00181212" w:rsidP="00F51C53">
      <w:r>
        <w:tab/>
      </w:r>
      <w:r>
        <w:tab/>
      </w:r>
      <w:r>
        <w:tab/>
      </w:r>
      <w:r w:rsidR="00F51C53">
        <w:tab/>
        <w:t xml:space="preserve">2.  </w:t>
      </w:r>
      <w:r>
        <w:t xml:space="preserve">the date, amount, and source of all funds received on behalf of </w:t>
      </w:r>
      <w:r>
        <w:tab/>
      </w:r>
      <w:r>
        <w:tab/>
      </w:r>
      <w:r>
        <w:tab/>
      </w:r>
      <w:r>
        <w:tab/>
      </w:r>
      <w:r>
        <w:tab/>
        <w:t>such client,</w:t>
      </w:r>
    </w:p>
    <w:p w:rsidR="00181212" w:rsidRDefault="00F51C53" w:rsidP="00F51C53">
      <w:pPr>
        <w:ind w:left="2880" w:hanging="720"/>
      </w:pPr>
      <w:r>
        <w:tab/>
      </w:r>
      <w:r w:rsidR="00181212">
        <w:t>3.</w:t>
      </w:r>
      <w:r>
        <w:t xml:space="preserve">  </w:t>
      </w:r>
      <w:r w:rsidR="00181212">
        <w:t>the date, amount, payee and purpose of each disbursement made on behalf of such client, and</w:t>
      </w:r>
    </w:p>
    <w:p w:rsidR="00181212" w:rsidRDefault="00F51C53" w:rsidP="00F51C53">
      <w:r>
        <w:tab/>
      </w:r>
      <w:r>
        <w:tab/>
      </w:r>
      <w:r>
        <w:tab/>
      </w:r>
      <w:r>
        <w:tab/>
        <w:t xml:space="preserve">4.  </w:t>
      </w:r>
      <w:r w:rsidR="00181212">
        <w:t>the current balance for such client;</w:t>
      </w:r>
    </w:p>
    <w:p w:rsidR="00181212" w:rsidRDefault="00F51C53" w:rsidP="00F51C53">
      <w:r>
        <w:tab/>
      </w:r>
      <w:r>
        <w:tab/>
      </w:r>
      <w:r>
        <w:tab/>
        <w:t xml:space="preserve">ii.  </w:t>
      </w:r>
      <w:r w:rsidR="00181212">
        <w:t>a written journal for each client trust fund account that sets forth:</w:t>
      </w:r>
    </w:p>
    <w:p w:rsidR="00181212" w:rsidRDefault="00181212" w:rsidP="00F51C53">
      <w:r>
        <w:tab/>
      </w:r>
      <w:r>
        <w:tab/>
      </w:r>
      <w:r>
        <w:tab/>
      </w:r>
      <w:r w:rsidR="00F51C53">
        <w:tab/>
      </w:r>
      <w:r>
        <w:t>1.</w:t>
      </w:r>
      <w:r w:rsidR="00F51C53">
        <w:t xml:space="preserve">  </w:t>
      </w:r>
      <w:r>
        <w:t>the name of such account,</w:t>
      </w:r>
    </w:p>
    <w:p w:rsidR="00181212" w:rsidRDefault="00F51C53" w:rsidP="00F51C53">
      <w:r>
        <w:tab/>
      </w:r>
      <w:r>
        <w:tab/>
      </w:r>
      <w:r>
        <w:tab/>
      </w:r>
      <w:r>
        <w:tab/>
        <w:t xml:space="preserve">2.  </w:t>
      </w:r>
      <w:r w:rsidR="00181212">
        <w:t xml:space="preserve">the date, amount, and client affected by each debit and credit, </w:t>
      </w:r>
      <w:r>
        <w:tab/>
      </w:r>
      <w:r>
        <w:tab/>
      </w:r>
      <w:r>
        <w:tab/>
      </w:r>
      <w:r>
        <w:tab/>
      </w:r>
      <w:r w:rsidR="00181212">
        <w:t>and</w:t>
      </w:r>
    </w:p>
    <w:p w:rsidR="00181212" w:rsidRDefault="00181212" w:rsidP="00F51C53">
      <w:r>
        <w:tab/>
      </w:r>
      <w:r>
        <w:tab/>
      </w:r>
      <w:r>
        <w:tab/>
      </w:r>
      <w:r w:rsidR="00F51C53">
        <w:tab/>
      </w:r>
      <w:r>
        <w:t>3.</w:t>
      </w:r>
      <w:r w:rsidR="00F51C53">
        <w:t xml:space="preserve">  </w:t>
      </w:r>
      <w:r>
        <w:t>the current balance in such account.</w:t>
      </w:r>
    </w:p>
    <w:p w:rsidR="00181212" w:rsidRDefault="00181212" w:rsidP="00F51C53">
      <w:r>
        <w:lastRenderedPageBreak/>
        <w:tab/>
      </w:r>
      <w:r>
        <w:tab/>
      </w:r>
      <w:r w:rsidR="00F51C53">
        <w:tab/>
      </w:r>
      <w:r>
        <w:t>iii.</w:t>
      </w:r>
      <w:r w:rsidR="00F51C53">
        <w:t xml:space="preserve">  </w:t>
      </w:r>
      <w:r>
        <w:t>all bank statements and canceled checks for each client trust account; a</w:t>
      </w:r>
      <w:r w:rsidR="00F51C53">
        <w:tab/>
      </w:r>
      <w:r w:rsidR="00F51C53">
        <w:tab/>
      </w:r>
      <w:r w:rsidR="00F51C53">
        <w:tab/>
      </w:r>
      <w:r w:rsidR="00F51C53">
        <w:tab/>
        <w:t>a</w:t>
      </w:r>
      <w:r>
        <w:t>nd</w:t>
      </w:r>
    </w:p>
    <w:p w:rsidR="00181212" w:rsidRDefault="00F51C53" w:rsidP="00F51C53">
      <w:pPr>
        <w:ind w:left="2160" w:hanging="720"/>
      </w:pPr>
      <w:r>
        <w:tab/>
        <w:t xml:space="preserve">iv.  </w:t>
      </w:r>
      <w:r w:rsidR="00181212">
        <w:t>each monthly reconciliation (balancing) of (i), (ii), and (iii) above, and if there are any differences between the monthly total balances reflected in (i), (ii), and (iii) above, the reason for the differences, and that respondent has maintained a written journal of securities or other properties held for a client that specifies:</w:t>
      </w:r>
    </w:p>
    <w:p w:rsidR="00181212" w:rsidRDefault="00181212" w:rsidP="00F51C53">
      <w:r>
        <w:tab/>
      </w:r>
      <w:r>
        <w:tab/>
      </w:r>
      <w:r>
        <w:tab/>
      </w:r>
      <w:r w:rsidR="00F51C53">
        <w:tab/>
      </w:r>
      <w:r>
        <w:t>1.</w:t>
      </w:r>
      <w:r w:rsidR="00F51C53">
        <w:t xml:space="preserve">  </w:t>
      </w:r>
      <w:r>
        <w:t>each item of security and property held;</w:t>
      </w:r>
    </w:p>
    <w:p w:rsidR="00181212" w:rsidRDefault="00F51C53" w:rsidP="00F51C53">
      <w:r>
        <w:tab/>
      </w:r>
      <w:r>
        <w:tab/>
      </w:r>
      <w:r>
        <w:tab/>
      </w:r>
      <w:r>
        <w:tab/>
        <w:t xml:space="preserve">2.  </w:t>
      </w:r>
      <w:r w:rsidR="00181212">
        <w:t>the person on whose behalf the security or property is held;</w:t>
      </w:r>
    </w:p>
    <w:p w:rsidR="00181212" w:rsidRDefault="00F51C53" w:rsidP="00F51C53">
      <w:r>
        <w:tab/>
      </w:r>
      <w:r>
        <w:tab/>
      </w:r>
      <w:r>
        <w:tab/>
      </w:r>
      <w:r>
        <w:tab/>
        <w:t xml:space="preserve">3.  </w:t>
      </w:r>
      <w:r w:rsidR="00181212">
        <w:t>the date of receipt of the security or property;</w:t>
      </w:r>
    </w:p>
    <w:p w:rsidR="00181212" w:rsidRDefault="00181212" w:rsidP="00F51C53">
      <w:r>
        <w:tab/>
      </w:r>
      <w:r>
        <w:tab/>
      </w:r>
      <w:r>
        <w:tab/>
      </w:r>
      <w:r w:rsidR="00F51C53">
        <w:tab/>
      </w:r>
      <w:r>
        <w:t>4.</w:t>
      </w:r>
      <w:r w:rsidR="00F51C53">
        <w:t xml:space="preserve">  </w:t>
      </w:r>
      <w:r>
        <w:t xml:space="preserve">the date of distribution of the security or property; and </w:t>
      </w:r>
    </w:p>
    <w:p w:rsidR="00181212" w:rsidRDefault="00F51C53" w:rsidP="00F51C53">
      <w:r>
        <w:tab/>
      </w:r>
      <w:r>
        <w:tab/>
      </w:r>
      <w:r>
        <w:tab/>
      </w:r>
      <w:r>
        <w:tab/>
        <w:t xml:space="preserve">5.  </w:t>
      </w:r>
      <w:r w:rsidR="00181212">
        <w:t>the person to whom the security or property was distributed.</w:t>
      </w:r>
    </w:p>
    <w:p w:rsidR="00181212" w:rsidRDefault="00F51C53" w:rsidP="00F51C53">
      <w:pPr>
        <w:ind w:left="1440" w:hanging="720"/>
      </w:pPr>
      <w:r>
        <w:tab/>
      </w:r>
      <w:r w:rsidR="00181212">
        <w:t>b.</w:t>
      </w:r>
      <w:r>
        <w:t xml:space="preserve">  </w:t>
      </w:r>
      <w:r w:rsidR="00181212">
        <w:t>If respondent does not possess any client funds, property or securities during the entire period covered by a report, respondent must so state under penalty of perjury in the report filed with the Probation Unit for that reporting period.  In this circumstance, respondent need not file the accountant’s certificate described above.</w:t>
      </w:r>
    </w:p>
    <w:p w:rsidR="00181212" w:rsidRDefault="00F51C53" w:rsidP="00F51C53">
      <w:pPr>
        <w:ind w:left="720"/>
      </w:pPr>
      <w:r>
        <w:tab/>
        <w:t xml:space="preserve">c.  </w:t>
      </w:r>
      <w:r w:rsidR="00181212">
        <w:t>The requirements of this condition are in addition to those set forth in rule 4-</w:t>
      </w:r>
      <w:r>
        <w:tab/>
      </w:r>
      <w:r w:rsidR="00181212">
        <w:t xml:space="preserve">100, Rules of Professional Conduct. </w:t>
      </w:r>
    </w:p>
    <w:p w:rsidR="00181212" w:rsidRDefault="00181212" w:rsidP="00F51C53">
      <w:pPr>
        <w:ind w:left="720"/>
      </w:pPr>
    </w:p>
    <w:p w:rsidR="00067A37" w:rsidRDefault="00181212" w:rsidP="00F51C53">
      <w:pPr>
        <w:ind w:left="720"/>
      </w:pPr>
      <w:r>
        <w:t>6</w:t>
      </w:r>
      <w:r w:rsidR="00067A37">
        <w:t>.  Subject to the proper or good faith assertions of applicable privileges, respondent must answer fully, promptly, and truthfully, any inquiries of the Office of Probation [and any probation monitor assigned under these conditions] which are directed to respondent personally or in writing, relating to whether respondent is complying or has complied with the conditions contained herein.</w:t>
      </w:r>
    </w:p>
    <w:p w:rsidR="00067A37" w:rsidRDefault="00067A37" w:rsidP="00F51C53"/>
    <w:p w:rsidR="00067A37" w:rsidRDefault="00181212" w:rsidP="00F51C53">
      <w:pPr>
        <w:ind w:left="720"/>
      </w:pPr>
      <w:r>
        <w:t>7</w:t>
      </w:r>
      <w:r w:rsidR="00067A37">
        <w:t xml:space="preserve">.  Within one year of the effective date of the discipline herein, respondent must submit to the Office of Probation satisfactory evidence of completion the State Bar’s Ethics School and passage of the test given at the end of that session.  This requirement is </w:t>
      </w:r>
    </w:p>
    <w:p w:rsidR="00067A37" w:rsidRDefault="00067A37" w:rsidP="00F51C53">
      <w:pPr>
        <w:ind w:left="720"/>
      </w:pPr>
      <w:r>
        <w:t>separate from any Minimum Continuing Legal Education Requirement (MCLE) requirement, and respondent shall not receive MCLE credit for attending Ethics School (Rules Proc. of State Bar, rule 3201).</w:t>
      </w:r>
    </w:p>
    <w:p w:rsidR="00067A37" w:rsidRDefault="00067A37" w:rsidP="00F51C53"/>
    <w:p w:rsidR="00067A37" w:rsidRDefault="00181212" w:rsidP="00F51C53">
      <w:pPr>
        <w:ind w:left="720"/>
      </w:pPr>
      <w:r>
        <w:t>8</w:t>
      </w:r>
      <w:r w:rsidR="00067A37">
        <w:t>.  Respondent’s probation will commence on the effective date of the Supreme Court order imposing discipline in this matter.  And, at the end of the probationary term, if respondent has complied with the conditions of probation, the Supreme Court order suspending respondent from the practice of law for two years will be satisfied, and the suspension will be terminated.</w:t>
      </w:r>
    </w:p>
    <w:p w:rsidR="00F51C53" w:rsidRDefault="00F51C53" w:rsidP="00F51C53">
      <w:pPr>
        <w:ind w:left="720"/>
      </w:pPr>
    </w:p>
    <w:p w:rsidR="00067A37" w:rsidRDefault="00067A37" w:rsidP="00F51C53">
      <w:pPr>
        <w:spacing w:line="480" w:lineRule="auto"/>
        <w:jc w:val="center"/>
      </w:pPr>
      <w:r>
        <w:rPr>
          <w:b/>
          <w:bCs/>
        </w:rPr>
        <w:t>V</w:t>
      </w:r>
      <w:r w:rsidR="00F51C53">
        <w:rPr>
          <w:b/>
          <w:bCs/>
        </w:rPr>
        <w:t>I</w:t>
      </w:r>
      <w:r w:rsidR="00B50E64">
        <w:rPr>
          <w:b/>
          <w:bCs/>
        </w:rPr>
        <w:t>I</w:t>
      </w:r>
      <w:r>
        <w:rPr>
          <w:b/>
          <w:bCs/>
        </w:rPr>
        <w:t>.  PROFESSIONAL RESPONSIBILITY EXAMINATION</w:t>
      </w:r>
    </w:p>
    <w:p w:rsidR="00067A37" w:rsidRDefault="00067A37" w:rsidP="00F51C53">
      <w:pPr>
        <w:spacing w:line="480" w:lineRule="auto"/>
        <w:rPr>
          <w:b/>
          <w:bCs/>
        </w:rPr>
      </w:pPr>
      <w:r>
        <w:tab/>
        <w:t xml:space="preserve">We further recommend that respondent be ordered to take and pass the Multistate Professional Responsibility Examination administered by the National Conference of Bar </w:t>
      </w:r>
      <w:r w:rsidR="00165B19">
        <w:t xml:space="preserve">Examiners within </w:t>
      </w:r>
      <w:r w:rsidR="006A6AFD">
        <w:t xml:space="preserve">one year </w:t>
      </w:r>
      <w:r>
        <w:t xml:space="preserve">of the effective date of the Supreme Court order in this matter and to </w:t>
      </w:r>
      <w:r>
        <w:lastRenderedPageBreak/>
        <w:t>provide satisfactory proof of such passage to the State Bar’s Office of Probation in Los Angeles within the same period.</w:t>
      </w:r>
    </w:p>
    <w:p w:rsidR="00067A37" w:rsidRDefault="00067A37" w:rsidP="00F51C53">
      <w:pPr>
        <w:spacing w:line="480" w:lineRule="auto"/>
        <w:jc w:val="center"/>
      </w:pPr>
      <w:r>
        <w:rPr>
          <w:b/>
          <w:bCs/>
        </w:rPr>
        <w:t>VI</w:t>
      </w:r>
      <w:r w:rsidR="00B50E64">
        <w:rPr>
          <w:b/>
          <w:bCs/>
        </w:rPr>
        <w:t>I</w:t>
      </w:r>
      <w:r w:rsidR="00F51C53">
        <w:rPr>
          <w:b/>
          <w:bCs/>
        </w:rPr>
        <w:t>I</w:t>
      </w:r>
      <w:r>
        <w:rPr>
          <w:b/>
          <w:bCs/>
        </w:rPr>
        <w:t>.  RULE 9.20</w:t>
      </w:r>
    </w:p>
    <w:p w:rsidR="00067A37" w:rsidRDefault="00067A37" w:rsidP="00F51C53">
      <w:pPr>
        <w:spacing w:line="480" w:lineRule="auto"/>
      </w:pPr>
      <w:r>
        <w:tab/>
        <w:t>It is further recommended that respondent be ordered to comply with rule 9.20, California Rules of Court, and to perform the acts specified in subdivisions (a) and (c) of that rule, within 30 and 40 days, respectively, from the effective date of the Supreme Court order herein.  Willful failure to comply with the provisions of rule 9.20 may result in revocation of probation; suspension; disbarment; denial of reinstatement; conviction of contempt; or criminal conviction.</w:t>
      </w:r>
    </w:p>
    <w:p w:rsidR="00067A37" w:rsidRPr="00067A37" w:rsidRDefault="00F51C53" w:rsidP="00F51C53">
      <w:pPr>
        <w:pStyle w:val="Heading3"/>
        <w:spacing w:before="0" w:line="480" w:lineRule="auto"/>
        <w:jc w:val="center"/>
        <w:rPr>
          <w:rFonts w:ascii="Times New Roman" w:hAnsi="Times New Roman" w:cs="Times New Roman"/>
          <w:color w:val="auto"/>
        </w:rPr>
      </w:pPr>
      <w:r>
        <w:rPr>
          <w:rFonts w:ascii="Times New Roman" w:hAnsi="Times New Roman" w:cs="Times New Roman"/>
          <w:color w:val="auto"/>
        </w:rPr>
        <w:t>IX</w:t>
      </w:r>
      <w:r w:rsidR="00067A37" w:rsidRPr="00067A37">
        <w:rPr>
          <w:rFonts w:ascii="Times New Roman" w:hAnsi="Times New Roman" w:cs="Times New Roman"/>
          <w:color w:val="auto"/>
        </w:rPr>
        <w:t>.  COSTS</w:t>
      </w:r>
    </w:p>
    <w:p w:rsidR="00453019" w:rsidRDefault="00067A37" w:rsidP="00F51C53">
      <w:pPr>
        <w:spacing w:line="480" w:lineRule="auto"/>
      </w:pPr>
      <w:r>
        <w:tab/>
        <w:t>We further recommend that costs be awarded to the State Bar in accordance with Business and Professions Code section 6086.10, such costs being enforceable both as provided in section 6140.7 and as a money judgment.</w:t>
      </w:r>
    </w:p>
    <w:p w:rsidR="00853556" w:rsidRDefault="00853556">
      <w:r>
        <w:tab/>
      </w:r>
      <w:r>
        <w:tab/>
      </w:r>
      <w:r>
        <w:tab/>
      </w:r>
      <w:r>
        <w:tab/>
      </w:r>
      <w:r>
        <w:tab/>
      </w:r>
      <w:r>
        <w:tab/>
      </w:r>
      <w:r>
        <w:tab/>
      </w:r>
      <w:bookmarkStart w:id="14" w:name="judge"/>
      <w:bookmarkEnd w:id="14"/>
      <w:r w:rsidR="00C338EE">
        <w:t>REMKE, P.</w:t>
      </w:r>
      <w:r w:rsidR="00B50E64">
        <w:t xml:space="preserve"> </w:t>
      </w:r>
      <w:r w:rsidR="00C338EE">
        <w:t>J.</w:t>
      </w:r>
    </w:p>
    <w:p w:rsidR="000D632E" w:rsidRDefault="000D632E"/>
    <w:p w:rsidR="00B50E64" w:rsidRDefault="008D02D3" w:rsidP="00F242C4">
      <w:pPr>
        <w:spacing w:line="480" w:lineRule="auto"/>
      </w:pPr>
      <w:r>
        <w:t>W</w:t>
      </w:r>
      <w:r w:rsidR="00F242C4">
        <w:t>e concur</w:t>
      </w:r>
      <w:r>
        <w:t>:</w:t>
      </w:r>
    </w:p>
    <w:p w:rsidR="008D02D3" w:rsidRDefault="00F242C4" w:rsidP="00F242C4">
      <w:pPr>
        <w:spacing w:line="480" w:lineRule="auto"/>
      </w:pPr>
      <w:r>
        <w:t>EPSTEIN</w:t>
      </w:r>
      <w:r w:rsidR="008D02D3">
        <w:t>, J.</w:t>
      </w:r>
    </w:p>
    <w:p w:rsidR="008D02D3" w:rsidRDefault="00F242C4" w:rsidP="00F242C4">
      <w:pPr>
        <w:spacing w:line="480" w:lineRule="auto"/>
      </w:pPr>
      <w:r>
        <w:t>STOVITZ</w:t>
      </w:r>
      <w:r w:rsidR="008D02D3">
        <w:t>, J.</w:t>
      </w:r>
      <w:r>
        <w:rPr>
          <w:rStyle w:val="FootnoteReference"/>
        </w:rPr>
        <w:footnoteReference w:id="9"/>
      </w:r>
    </w:p>
    <w:sectPr w:rsidR="008D02D3" w:rsidSect="00B022CF">
      <w:footerReference w:type="default" r:id="rId11"/>
      <w:type w:val="continuous"/>
      <w:pgSz w:w="12240" w:h="15840" w:code="1"/>
      <w:pgMar w:top="1440" w:right="1440" w:bottom="1008" w:left="1440" w:header="864" w:footer="43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877" w:rsidRDefault="00371877">
      <w:r>
        <w:separator/>
      </w:r>
    </w:p>
  </w:endnote>
  <w:endnote w:type="continuationSeparator" w:id="1">
    <w:p w:rsidR="00371877" w:rsidRDefault="00371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77" w:rsidRDefault="00371877">
    <w:pPr>
      <w:framePr w:wrap="notBeside" w:hAnchor="text" w:xAlign="center"/>
    </w:pPr>
    <w:r>
      <w:t>-</w:t>
    </w:r>
    <w:fldSimple w:instr=" PAGE  ">
      <w:r w:rsidR="00F44D2D">
        <w:rPr>
          <w:noProof/>
        </w:rPr>
        <w:t>20</w:t>
      </w:r>
    </w:fldSimple>
    <w:r>
      <w:t>-</w:t>
    </w:r>
  </w:p>
  <w:p w:rsidR="00371877" w:rsidRDefault="003718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877" w:rsidRDefault="00371877">
      <w:r>
        <w:separator/>
      </w:r>
    </w:p>
  </w:footnote>
  <w:footnote w:type="continuationSeparator" w:id="1">
    <w:p w:rsidR="00371877" w:rsidRDefault="00371877">
      <w:r>
        <w:continuationSeparator/>
      </w:r>
    </w:p>
  </w:footnote>
  <w:footnote w:id="2">
    <w:p w:rsidR="00371877" w:rsidRPr="003D050B" w:rsidRDefault="00371877" w:rsidP="00DA47C5">
      <w:pPr>
        <w:pStyle w:val="FootnoteText"/>
        <w:rPr>
          <w:sz w:val="24"/>
        </w:rPr>
      </w:pPr>
      <w:r>
        <w:rPr>
          <w:sz w:val="24"/>
        </w:rPr>
        <w:tab/>
      </w:r>
      <w:r>
        <w:rPr>
          <w:rStyle w:val="FootnoteReference"/>
          <w:sz w:val="24"/>
        </w:rPr>
        <w:footnoteRef/>
      </w:r>
      <w:r>
        <w:rPr>
          <w:sz w:val="24"/>
        </w:rPr>
        <w:t>All further references to “standards” are to the Rules of Procedure of the State Bar, title IV, Standards for Attorney Sanctions for Professional Misconduct.</w:t>
      </w:r>
    </w:p>
  </w:footnote>
  <w:footnote w:id="3">
    <w:p w:rsidR="00371877" w:rsidRDefault="00371877" w:rsidP="00CF406C">
      <w:pPr>
        <w:pStyle w:val="FootnoteText"/>
        <w:rPr>
          <w:sz w:val="24"/>
        </w:rPr>
      </w:pPr>
      <w:r>
        <w:rPr>
          <w:sz w:val="24"/>
        </w:rPr>
        <w:tab/>
      </w:r>
      <w:r>
        <w:rPr>
          <w:rStyle w:val="FootnoteReference"/>
          <w:sz w:val="24"/>
        </w:rPr>
        <w:footnoteRef/>
      </w:r>
      <w:r>
        <w:rPr>
          <w:sz w:val="24"/>
        </w:rPr>
        <w:t>All further references to “rules” are to the Rules of Professional Conduct, unless expressly noted.</w:t>
      </w:r>
    </w:p>
    <w:p w:rsidR="00371877" w:rsidRDefault="00371877" w:rsidP="00CF406C"/>
  </w:footnote>
  <w:footnote w:id="4">
    <w:p w:rsidR="00371877" w:rsidRDefault="00371877">
      <w:pPr>
        <w:pStyle w:val="FootnoteText"/>
      </w:pPr>
      <w:r>
        <w:tab/>
      </w:r>
      <w:r>
        <w:rPr>
          <w:rStyle w:val="FootnoteReference"/>
        </w:rPr>
        <w:footnoteRef/>
      </w:r>
      <w:r>
        <w:rPr>
          <w:sz w:val="24"/>
        </w:rPr>
        <w:t>All further references to “sections” are to the Business and Professions Code, unless expressly noted.</w:t>
      </w:r>
    </w:p>
  </w:footnote>
  <w:footnote w:id="5">
    <w:p w:rsidR="00371877" w:rsidRDefault="00371877" w:rsidP="00054F23">
      <w:r>
        <w:tab/>
      </w:r>
      <w:r>
        <w:rPr>
          <w:rStyle w:val="FootnoteReference"/>
        </w:rPr>
        <w:footnoteRef/>
      </w:r>
      <w:r>
        <w:t xml:space="preserve">The following are the only documents contained in the official court file, and thus, at issue: </w:t>
      </w:r>
    </w:p>
    <w:p w:rsidR="00371877" w:rsidRDefault="00371877" w:rsidP="00054F23">
      <w:r>
        <w:tab/>
        <w:t xml:space="preserve">1) March 2, 2007 cover letter from respondent, with attached January 13, 2005 letter from Dr. Daniel Kim, and first page of Voluntary Petition of Bankruptcy, Chapter 7, filed October 4, 2005; </w:t>
      </w:r>
    </w:p>
    <w:p w:rsidR="00371877" w:rsidRDefault="00371877" w:rsidP="00054F23">
      <w:r>
        <w:tab/>
        <w:t xml:space="preserve">2) March 13, 2007 fax transmission from respondent, with attached six pages of medical records regarding Melissa Luebkeman; </w:t>
      </w:r>
    </w:p>
    <w:p w:rsidR="00371877" w:rsidRDefault="00371877" w:rsidP="00054F23">
      <w:r>
        <w:tab/>
        <w:t>3) March 30, 2007 cover letter from respondent, with attached March 27, 2007 letter from Andrew M. Abarbanel, M.D.; and,</w:t>
      </w:r>
    </w:p>
    <w:p w:rsidR="00371877" w:rsidRDefault="00371877" w:rsidP="00054F23">
      <w:r>
        <w:tab/>
        <w:t>4) May 1, 2007 two-page letter from Andrew M. Abarbanel, M.D.</w:t>
      </w:r>
    </w:p>
  </w:footnote>
  <w:footnote w:id="6">
    <w:p w:rsidR="00371877" w:rsidRDefault="00371877">
      <w:pPr>
        <w:pStyle w:val="FootnoteText"/>
      </w:pPr>
      <w:r>
        <w:tab/>
      </w:r>
      <w:r>
        <w:rPr>
          <w:rStyle w:val="FootnoteReference"/>
        </w:rPr>
        <w:footnoteRef/>
      </w:r>
      <w:r w:rsidRPr="00150FC2">
        <w:rPr>
          <w:sz w:val="24"/>
          <w:szCs w:val="24"/>
        </w:rPr>
        <w:t>Res</w:t>
      </w:r>
      <w:r>
        <w:rPr>
          <w:sz w:val="24"/>
          <w:szCs w:val="24"/>
        </w:rPr>
        <w:t>pondent’s transfer of $449.18 from his general account into the CTA to cover the overdraft does not support a finding of culpability for commingling.  The evidence clearly establishes that respondent deposited the funds to restore funds that were wrongfully withdrawn.  (S</w:t>
      </w:r>
      <w:r w:rsidRPr="008E0829">
        <w:rPr>
          <w:sz w:val="24"/>
          <w:szCs w:val="24"/>
        </w:rPr>
        <w:t xml:space="preserve">ee </w:t>
      </w:r>
      <w:r w:rsidRPr="008E0829">
        <w:rPr>
          <w:i/>
          <w:iCs/>
          <w:sz w:val="24"/>
          <w:szCs w:val="24"/>
        </w:rPr>
        <w:t>Guzzetta</w:t>
      </w:r>
      <w:r>
        <w:rPr>
          <w:i/>
          <w:iCs/>
          <w:sz w:val="24"/>
          <w:szCs w:val="24"/>
        </w:rPr>
        <w:t xml:space="preserve"> v. State Bar</w:t>
      </w:r>
      <w:r>
        <w:rPr>
          <w:iCs/>
          <w:sz w:val="24"/>
          <w:szCs w:val="24"/>
        </w:rPr>
        <w:t xml:space="preserve"> (1987)</w:t>
      </w:r>
      <w:r>
        <w:rPr>
          <w:sz w:val="24"/>
          <w:szCs w:val="24"/>
        </w:rPr>
        <w:t xml:space="preserve"> 43 Cal.</w:t>
      </w:r>
      <w:r w:rsidRPr="008E0829">
        <w:rPr>
          <w:sz w:val="24"/>
          <w:szCs w:val="24"/>
        </w:rPr>
        <w:t>3d 962</w:t>
      </w:r>
      <w:r>
        <w:rPr>
          <w:sz w:val="24"/>
          <w:szCs w:val="24"/>
        </w:rPr>
        <w:t xml:space="preserve">, </w:t>
      </w:r>
      <w:r w:rsidRPr="008E0829">
        <w:rPr>
          <w:sz w:val="24"/>
          <w:szCs w:val="24"/>
        </w:rPr>
        <w:t>978-979</w:t>
      </w:r>
      <w:r>
        <w:rPr>
          <w:sz w:val="24"/>
          <w:szCs w:val="24"/>
        </w:rPr>
        <w:t xml:space="preserve"> [</w:t>
      </w:r>
      <w:r w:rsidRPr="008E0829">
        <w:rPr>
          <w:sz w:val="24"/>
          <w:szCs w:val="24"/>
        </w:rPr>
        <w:t>“An attorney's restoration of funds wrongfully withdrawn from a trust account is not a further violation of the Rules of Profes</w:t>
      </w:r>
      <w:r>
        <w:rPr>
          <w:sz w:val="24"/>
          <w:szCs w:val="24"/>
        </w:rPr>
        <w:t>sional Conduct as a prohibited ‘commingling’</w:t>
      </w:r>
      <w:r w:rsidRPr="008E0829">
        <w:rPr>
          <w:sz w:val="24"/>
          <w:szCs w:val="24"/>
        </w:rPr>
        <w:t xml:space="preserve"> of attorney and client funds.”</w:t>
      </w:r>
      <w:r>
        <w:t xml:space="preserve"> ].) </w:t>
      </w:r>
    </w:p>
  </w:footnote>
  <w:footnote w:id="7">
    <w:p w:rsidR="00371877" w:rsidRPr="00EE04B6" w:rsidRDefault="00371877">
      <w:pPr>
        <w:pStyle w:val="FootnoteText"/>
        <w:rPr>
          <w:sz w:val="24"/>
          <w:szCs w:val="24"/>
        </w:rPr>
      </w:pPr>
      <w:r>
        <w:tab/>
      </w:r>
      <w:r>
        <w:rPr>
          <w:rStyle w:val="FootnoteReference"/>
        </w:rPr>
        <w:footnoteRef/>
      </w:r>
      <w:r w:rsidRPr="00EE04B6">
        <w:rPr>
          <w:sz w:val="24"/>
          <w:szCs w:val="24"/>
        </w:rPr>
        <w:t>In addition to standard 2.2(a), standard 2.3 also applies to respondent’s violation of section 6106 and provides that an act of moral turpitude, fraud or intentional dishonesty “shall result in actual suspension or disbarment” according to the gravity of the offense or the harm, if any, to the victim.  S</w:t>
      </w:r>
      <w:r>
        <w:rPr>
          <w:sz w:val="24"/>
          <w:szCs w:val="24"/>
        </w:rPr>
        <w:t>ince s</w:t>
      </w:r>
      <w:r w:rsidRPr="00EE04B6">
        <w:rPr>
          <w:sz w:val="24"/>
          <w:szCs w:val="24"/>
        </w:rPr>
        <w:t>tandard 1.6(a) provides, in part, that “[i]f two or more acts of professional misconduct are found . . . and different sanctions are prescribed . . . the sanction imposed shall be the more or most severe of the different applicable sanctions</w:t>
      </w:r>
      <w:r>
        <w:rPr>
          <w:sz w:val="24"/>
          <w:szCs w:val="24"/>
        </w:rPr>
        <w:t>,</w:t>
      </w:r>
      <w:r w:rsidRPr="00EE04B6">
        <w:rPr>
          <w:sz w:val="24"/>
          <w:szCs w:val="24"/>
        </w:rPr>
        <w:t xml:space="preserve">” </w:t>
      </w:r>
      <w:r>
        <w:rPr>
          <w:sz w:val="24"/>
          <w:szCs w:val="24"/>
        </w:rPr>
        <w:t>w</w:t>
      </w:r>
      <w:r w:rsidRPr="00EE04B6">
        <w:rPr>
          <w:sz w:val="24"/>
          <w:szCs w:val="24"/>
        </w:rPr>
        <w:t xml:space="preserve">e apply standard 2.2(a) to this case.  </w:t>
      </w:r>
    </w:p>
  </w:footnote>
  <w:footnote w:id="8">
    <w:p w:rsidR="00371877" w:rsidRPr="00B57131" w:rsidRDefault="00371877">
      <w:pPr>
        <w:pStyle w:val="FootnoteText"/>
        <w:rPr>
          <w:sz w:val="24"/>
          <w:szCs w:val="24"/>
        </w:rPr>
      </w:pPr>
      <w:r>
        <w:rPr>
          <w:sz w:val="24"/>
          <w:szCs w:val="24"/>
        </w:rPr>
        <w:tab/>
      </w:r>
      <w:r w:rsidRPr="00B57131">
        <w:rPr>
          <w:rStyle w:val="FootnoteReference"/>
          <w:sz w:val="24"/>
          <w:szCs w:val="24"/>
        </w:rPr>
        <w:footnoteRef/>
      </w:r>
      <w:r w:rsidRPr="00B57131">
        <w:rPr>
          <w:sz w:val="24"/>
          <w:szCs w:val="24"/>
        </w:rPr>
        <w:t>Standard 1.2(b)(ii) provides that is shall be considered an aggravating circumstance “that the current misconduct found or acknowledged by the member evidences multiple acts of wrongdoing or demonstrates a pattern of misconduct.”</w:t>
      </w:r>
    </w:p>
  </w:footnote>
  <w:footnote w:id="9">
    <w:p w:rsidR="00371877" w:rsidRPr="00F242C4" w:rsidRDefault="00371877" w:rsidP="00F242C4">
      <w:pPr>
        <w:pStyle w:val="FootnoteText"/>
        <w:ind w:firstLine="720"/>
        <w:rPr>
          <w:sz w:val="24"/>
          <w:szCs w:val="24"/>
        </w:rPr>
      </w:pPr>
      <w:r w:rsidRPr="00F242C4">
        <w:rPr>
          <w:rStyle w:val="FootnoteReference"/>
          <w:sz w:val="24"/>
          <w:szCs w:val="24"/>
        </w:rPr>
        <w:footnoteRef/>
      </w:r>
      <w:r w:rsidRPr="00F242C4">
        <w:rPr>
          <w:sz w:val="24"/>
          <w:szCs w:val="24"/>
        </w:rPr>
        <w:t xml:space="preserve">Hon. Ronald W. Stovitz, Retired Presiding Judge of the State Bar Court, sitting by designation of the Presiding Judge. </w:t>
      </w:r>
      <w:r w:rsidRPr="00F242C4">
        <w:rPr>
          <w:sz w:val="24"/>
          <w:szCs w:val="24"/>
        </w:rPr>
        <w:tab/>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35C15"/>
    <w:multiLevelType w:val="hybridMultilevel"/>
    <w:tmpl w:val="9906F59C"/>
    <w:lvl w:ilvl="0" w:tplc="6F30E004">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46C1F6C"/>
    <w:multiLevelType w:val="hybridMultilevel"/>
    <w:tmpl w:val="E196DA0E"/>
    <w:lvl w:ilvl="0" w:tplc="E5988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CD4D00"/>
    <w:multiLevelType w:val="hybridMultilevel"/>
    <w:tmpl w:val="29669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37066"/>
    <w:multiLevelType w:val="hybridMultilevel"/>
    <w:tmpl w:val="0742E236"/>
    <w:lvl w:ilvl="0" w:tplc="B080C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D63A94"/>
    <w:multiLevelType w:val="hybridMultilevel"/>
    <w:tmpl w:val="2D686AF8"/>
    <w:lvl w:ilvl="0" w:tplc="D0A84B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83304"/>
    <w:multiLevelType w:val="hybridMultilevel"/>
    <w:tmpl w:val="9B28E1E4"/>
    <w:lvl w:ilvl="0" w:tplc="47223E20">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74762071"/>
    <w:multiLevelType w:val="hybridMultilevel"/>
    <w:tmpl w:val="D9704542"/>
    <w:lvl w:ilvl="0" w:tplc="D4AA3198">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750D491F"/>
    <w:multiLevelType w:val="hybridMultilevel"/>
    <w:tmpl w:val="F43662D8"/>
    <w:lvl w:ilvl="0" w:tplc="83C45BE6">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7D8D5954"/>
    <w:multiLevelType w:val="hybridMultilevel"/>
    <w:tmpl w:val="ED568A2C"/>
    <w:lvl w:ilvl="0" w:tplc="39E42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8"/>
  </w:num>
  <w:num w:numId="5">
    <w:abstractNumId w:val="5"/>
  </w:num>
  <w:num w:numId="6">
    <w:abstractNumId w:val="0"/>
  </w:num>
  <w:num w:numId="7">
    <w:abstractNumId w:val="7"/>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87116"/>
    <w:rsid w:val="00004C04"/>
    <w:rsid w:val="00011D66"/>
    <w:rsid w:val="0001625E"/>
    <w:rsid w:val="0001639C"/>
    <w:rsid w:val="000170DB"/>
    <w:rsid w:val="00023129"/>
    <w:rsid w:val="00026340"/>
    <w:rsid w:val="000269D1"/>
    <w:rsid w:val="0003061D"/>
    <w:rsid w:val="00045873"/>
    <w:rsid w:val="00054F23"/>
    <w:rsid w:val="00067461"/>
    <w:rsid w:val="00067A37"/>
    <w:rsid w:val="0007730A"/>
    <w:rsid w:val="00080A3F"/>
    <w:rsid w:val="00084B22"/>
    <w:rsid w:val="00096D74"/>
    <w:rsid w:val="000A047C"/>
    <w:rsid w:val="000A0D7D"/>
    <w:rsid w:val="000A2A53"/>
    <w:rsid w:val="000A6E76"/>
    <w:rsid w:val="000A7E94"/>
    <w:rsid w:val="000B355A"/>
    <w:rsid w:val="000B43FD"/>
    <w:rsid w:val="000C1505"/>
    <w:rsid w:val="000C671C"/>
    <w:rsid w:val="000D55EE"/>
    <w:rsid w:val="000D632E"/>
    <w:rsid w:val="000E020B"/>
    <w:rsid w:val="000E051D"/>
    <w:rsid w:val="000E6AF1"/>
    <w:rsid w:val="000F166E"/>
    <w:rsid w:val="000F63A5"/>
    <w:rsid w:val="000F7704"/>
    <w:rsid w:val="00101E49"/>
    <w:rsid w:val="0010695E"/>
    <w:rsid w:val="001072AD"/>
    <w:rsid w:val="0011161B"/>
    <w:rsid w:val="00112EE7"/>
    <w:rsid w:val="001357F2"/>
    <w:rsid w:val="001410EE"/>
    <w:rsid w:val="00147417"/>
    <w:rsid w:val="00150FC2"/>
    <w:rsid w:val="00157A09"/>
    <w:rsid w:val="00165B19"/>
    <w:rsid w:val="0016674B"/>
    <w:rsid w:val="0016789D"/>
    <w:rsid w:val="001766DD"/>
    <w:rsid w:val="001772E3"/>
    <w:rsid w:val="00181212"/>
    <w:rsid w:val="00186F50"/>
    <w:rsid w:val="00197066"/>
    <w:rsid w:val="001B3B0C"/>
    <w:rsid w:val="001B6DDD"/>
    <w:rsid w:val="001C3C8C"/>
    <w:rsid w:val="001E28FC"/>
    <w:rsid w:val="001E7834"/>
    <w:rsid w:val="001F0FF4"/>
    <w:rsid w:val="001F17E4"/>
    <w:rsid w:val="00204647"/>
    <w:rsid w:val="0020634E"/>
    <w:rsid w:val="0021411F"/>
    <w:rsid w:val="00231888"/>
    <w:rsid w:val="0023497A"/>
    <w:rsid w:val="0024127C"/>
    <w:rsid w:val="00241720"/>
    <w:rsid w:val="0025098D"/>
    <w:rsid w:val="00253342"/>
    <w:rsid w:val="002653A7"/>
    <w:rsid w:val="00271CC0"/>
    <w:rsid w:val="00281D79"/>
    <w:rsid w:val="002824C8"/>
    <w:rsid w:val="002847DA"/>
    <w:rsid w:val="00284B21"/>
    <w:rsid w:val="002A4D72"/>
    <w:rsid w:val="002B2135"/>
    <w:rsid w:val="002B256A"/>
    <w:rsid w:val="002B78F4"/>
    <w:rsid w:val="002C0F85"/>
    <w:rsid w:val="002C12AA"/>
    <w:rsid w:val="002C228C"/>
    <w:rsid w:val="002D2329"/>
    <w:rsid w:val="002E3707"/>
    <w:rsid w:val="002E3DBE"/>
    <w:rsid w:val="002F3EAF"/>
    <w:rsid w:val="00304BFA"/>
    <w:rsid w:val="00305902"/>
    <w:rsid w:val="003163B5"/>
    <w:rsid w:val="003177F3"/>
    <w:rsid w:val="00320ACF"/>
    <w:rsid w:val="00321C49"/>
    <w:rsid w:val="003222DF"/>
    <w:rsid w:val="0032308C"/>
    <w:rsid w:val="003243A0"/>
    <w:rsid w:val="00326547"/>
    <w:rsid w:val="00326D84"/>
    <w:rsid w:val="00326DCC"/>
    <w:rsid w:val="00331DBA"/>
    <w:rsid w:val="0033362D"/>
    <w:rsid w:val="00336C28"/>
    <w:rsid w:val="00342C42"/>
    <w:rsid w:val="00350F9A"/>
    <w:rsid w:val="00353AB8"/>
    <w:rsid w:val="00370C96"/>
    <w:rsid w:val="00371877"/>
    <w:rsid w:val="00377384"/>
    <w:rsid w:val="0038709F"/>
    <w:rsid w:val="00393375"/>
    <w:rsid w:val="00393A50"/>
    <w:rsid w:val="00397D65"/>
    <w:rsid w:val="003A0455"/>
    <w:rsid w:val="003A5EDD"/>
    <w:rsid w:val="003B03BE"/>
    <w:rsid w:val="003C007B"/>
    <w:rsid w:val="003C0566"/>
    <w:rsid w:val="003D050B"/>
    <w:rsid w:val="003D2AA3"/>
    <w:rsid w:val="003D3713"/>
    <w:rsid w:val="003E4C65"/>
    <w:rsid w:val="003E4D42"/>
    <w:rsid w:val="003E5998"/>
    <w:rsid w:val="003F2084"/>
    <w:rsid w:val="003F2E6B"/>
    <w:rsid w:val="00417569"/>
    <w:rsid w:val="004200BB"/>
    <w:rsid w:val="004205B2"/>
    <w:rsid w:val="00424BA1"/>
    <w:rsid w:val="00424D2B"/>
    <w:rsid w:val="00447322"/>
    <w:rsid w:val="0045026D"/>
    <w:rsid w:val="004515A3"/>
    <w:rsid w:val="0045267F"/>
    <w:rsid w:val="00453019"/>
    <w:rsid w:val="00455583"/>
    <w:rsid w:val="0046264B"/>
    <w:rsid w:val="00465220"/>
    <w:rsid w:val="00472010"/>
    <w:rsid w:val="00474C6E"/>
    <w:rsid w:val="00477391"/>
    <w:rsid w:val="0048002E"/>
    <w:rsid w:val="004924BE"/>
    <w:rsid w:val="004A65C5"/>
    <w:rsid w:val="004C3341"/>
    <w:rsid w:val="004D4C31"/>
    <w:rsid w:val="004E4B23"/>
    <w:rsid w:val="004E7745"/>
    <w:rsid w:val="004E7C3A"/>
    <w:rsid w:val="005014E7"/>
    <w:rsid w:val="00506C9F"/>
    <w:rsid w:val="00512383"/>
    <w:rsid w:val="00517D28"/>
    <w:rsid w:val="005210D9"/>
    <w:rsid w:val="0052306F"/>
    <w:rsid w:val="005265C0"/>
    <w:rsid w:val="00530E25"/>
    <w:rsid w:val="00540770"/>
    <w:rsid w:val="00553B23"/>
    <w:rsid w:val="0055566C"/>
    <w:rsid w:val="00556750"/>
    <w:rsid w:val="00557BCB"/>
    <w:rsid w:val="005625B8"/>
    <w:rsid w:val="00575063"/>
    <w:rsid w:val="00587116"/>
    <w:rsid w:val="005871C0"/>
    <w:rsid w:val="0059014D"/>
    <w:rsid w:val="00591AA1"/>
    <w:rsid w:val="00593C97"/>
    <w:rsid w:val="005941F6"/>
    <w:rsid w:val="005953C5"/>
    <w:rsid w:val="00596D44"/>
    <w:rsid w:val="005A5899"/>
    <w:rsid w:val="005B2125"/>
    <w:rsid w:val="005B328C"/>
    <w:rsid w:val="005B42BE"/>
    <w:rsid w:val="005B74A8"/>
    <w:rsid w:val="005C365E"/>
    <w:rsid w:val="005D12B6"/>
    <w:rsid w:val="005D177A"/>
    <w:rsid w:val="005D2EC8"/>
    <w:rsid w:val="005D305C"/>
    <w:rsid w:val="005D34D6"/>
    <w:rsid w:val="005E02BE"/>
    <w:rsid w:val="005E630D"/>
    <w:rsid w:val="00600242"/>
    <w:rsid w:val="00603921"/>
    <w:rsid w:val="0061573E"/>
    <w:rsid w:val="00615DAD"/>
    <w:rsid w:val="006318A1"/>
    <w:rsid w:val="00637562"/>
    <w:rsid w:val="00654235"/>
    <w:rsid w:val="006645A0"/>
    <w:rsid w:val="00667FC7"/>
    <w:rsid w:val="00670E3F"/>
    <w:rsid w:val="00671A03"/>
    <w:rsid w:val="00671BB9"/>
    <w:rsid w:val="0067399D"/>
    <w:rsid w:val="00693898"/>
    <w:rsid w:val="0069477F"/>
    <w:rsid w:val="006A6AFD"/>
    <w:rsid w:val="006B3E6D"/>
    <w:rsid w:val="006B66FE"/>
    <w:rsid w:val="006C051B"/>
    <w:rsid w:val="006C7ACB"/>
    <w:rsid w:val="006E1793"/>
    <w:rsid w:val="006E2E85"/>
    <w:rsid w:val="006E7AF7"/>
    <w:rsid w:val="006F50C8"/>
    <w:rsid w:val="00700033"/>
    <w:rsid w:val="00706972"/>
    <w:rsid w:val="00723348"/>
    <w:rsid w:val="00725055"/>
    <w:rsid w:val="007302F9"/>
    <w:rsid w:val="00743CB2"/>
    <w:rsid w:val="00750D01"/>
    <w:rsid w:val="00753081"/>
    <w:rsid w:val="0075321E"/>
    <w:rsid w:val="0075499C"/>
    <w:rsid w:val="007566F2"/>
    <w:rsid w:val="007576E1"/>
    <w:rsid w:val="00761C2A"/>
    <w:rsid w:val="0076501F"/>
    <w:rsid w:val="007720E7"/>
    <w:rsid w:val="00773D48"/>
    <w:rsid w:val="00777680"/>
    <w:rsid w:val="00786716"/>
    <w:rsid w:val="00786C4C"/>
    <w:rsid w:val="0079306E"/>
    <w:rsid w:val="00795C2E"/>
    <w:rsid w:val="00797E66"/>
    <w:rsid w:val="007A4FD7"/>
    <w:rsid w:val="007B6E5C"/>
    <w:rsid w:val="007B75AF"/>
    <w:rsid w:val="007C6323"/>
    <w:rsid w:val="007C7662"/>
    <w:rsid w:val="007D193E"/>
    <w:rsid w:val="007D7A28"/>
    <w:rsid w:val="007E1703"/>
    <w:rsid w:val="007E2F9F"/>
    <w:rsid w:val="007E48C5"/>
    <w:rsid w:val="007E73FF"/>
    <w:rsid w:val="007F5ABE"/>
    <w:rsid w:val="00804713"/>
    <w:rsid w:val="00823A32"/>
    <w:rsid w:val="008252F7"/>
    <w:rsid w:val="00825CEA"/>
    <w:rsid w:val="0083124A"/>
    <w:rsid w:val="008336EB"/>
    <w:rsid w:val="008358B3"/>
    <w:rsid w:val="0084459C"/>
    <w:rsid w:val="008523C4"/>
    <w:rsid w:val="008524E0"/>
    <w:rsid w:val="00853556"/>
    <w:rsid w:val="0085773B"/>
    <w:rsid w:val="00867D64"/>
    <w:rsid w:val="0087166E"/>
    <w:rsid w:val="00874A40"/>
    <w:rsid w:val="00874A6E"/>
    <w:rsid w:val="00885C53"/>
    <w:rsid w:val="0089787F"/>
    <w:rsid w:val="008A6DA6"/>
    <w:rsid w:val="008B6C03"/>
    <w:rsid w:val="008B7E92"/>
    <w:rsid w:val="008C2AFC"/>
    <w:rsid w:val="008C55EA"/>
    <w:rsid w:val="008D02D3"/>
    <w:rsid w:val="008D0587"/>
    <w:rsid w:val="008D085E"/>
    <w:rsid w:val="008D0F6D"/>
    <w:rsid w:val="008D2774"/>
    <w:rsid w:val="008D32F3"/>
    <w:rsid w:val="008D5636"/>
    <w:rsid w:val="008E072C"/>
    <w:rsid w:val="008E0829"/>
    <w:rsid w:val="008E16BE"/>
    <w:rsid w:val="008F11FC"/>
    <w:rsid w:val="00904002"/>
    <w:rsid w:val="00906942"/>
    <w:rsid w:val="0092130C"/>
    <w:rsid w:val="00941074"/>
    <w:rsid w:val="00942204"/>
    <w:rsid w:val="0094709D"/>
    <w:rsid w:val="0095465C"/>
    <w:rsid w:val="00954D6B"/>
    <w:rsid w:val="009553AF"/>
    <w:rsid w:val="00956178"/>
    <w:rsid w:val="00957890"/>
    <w:rsid w:val="00957BE7"/>
    <w:rsid w:val="009637A1"/>
    <w:rsid w:val="00971EE5"/>
    <w:rsid w:val="00973238"/>
    <w:rsid w:val="00983206"/>
    <w:rsid w:val="00986C45"/>
    <w:rsid w:val="0099466C"/>
    <w:rsid w:val="00996D5D"/>
    <w:rsid w:val="009B1B2C"/>
    <w:rsid w:val="009C057C"/>
    <w:rsid w:val="009C2601"/>
    <w:rsid w:val="009C6AD6"/>
    <w:rsid w:val="009D413B"/>
    <w:rsid w:val="009E1067"/>
    <w:rsid w:val="009E1C9B"/>
    <w:rsid w:val="009E6A20"/>
    <w:rsid w:val="00A010FA"/>
    <w:rsid w:val="00A06A67"/>
    <w:rsid w:val="00A21F42"/>
    <w:rsid w:val="00A24342"/>
    <w:rsid w:val="00A257CA"/>
    <w:rsid w:val="00A258D6"/>
    <w:rsid w:val="00A4289F"/>
    <w:rsid w:val="00A46B4A"/>
    <w:rsid w:val="00A56600"/>
    <w:rsid w:val="00A614CC"/>
    <w:rsid w:val="00A621E4"/>
    <w:rsid w:val="00A63842"/>
    <w:rsid w:val="00A807F1"/>
    <w:rsid w:val="00A8783F"/>
    <w:rsid w:val="00AA297D"/>
    <w:rsid w:val="00AB3A99"/>
    <w:rsid w:val="00AB420A"/>
    <w:rsid w:val="00AB44AD"/>
    <w:rsid w:val="00AB53BB"/>
    <w:rsid w:val="00AD067D"/>
    <w:rsid w:val="00AD12EA"/>
    <w:rsid w:val="00AD13EA"/>
    <w:rsid w:val="00AD1FE3"/>
    <w:rsid w:val="00AD490C"/>
    <w:rsid w:val="00AD5C43"/>
    <w:rsid w:val="00AE186D"/>
    <w:rsid w:val="00AE2A34"/>
    <w:rsid w:val="00AE3173"/>
    <w:rsid w:val="00AE5F42"/>
    <w:rsid w:val="00AE64BA"/>
    <w:rsid w:val="00AF0CA0"/>
    <w:rsid w:val="00AF436F"/>
    <w:rsid w:val="00AF55E3"/>
    <w:rsid w:val="00B022CF"/>
    <w:rsid w:val="00B10A17"/>
    <w:rsid w:val="00B1592F"/>
    <w:rsid w:val="00B15EC7"/>
    <w:rsid w:val="00B20292"/>
    <w:rsid w:val="00B24A5C"/>
    <w:rsid w:val="00B26FFD"/>
    <w:rsid w:val="00B44417"/>
    <w:rsid w:val="00B46462"/>
    <w:rsid w:val="00B473EA"/>
    <w:rsid w:val="00B50E64"/>
    <w:rsid w:val="00B55BEB"/>
    <w:rsid w:val="00B55ED0"/>
    <w:rsid w:val="00B57131"/>
    <w:rsid w:val="00B70B5E"/>
    <w:rsid w:val="00B93BEA"/>
    <w:rsid w:val="00BA22A5"/>
    <w:rsid w:val="00BA3F10"/>
    <w:rsid w:val="00BA7988"/>
    <w:rsid w:val="00BB2332"/>
    <w:rsid w:val="00BB42A9"/>
    <w:rsid w:val="00BB49E6"/>
    <w:rsid w:val="00BB63A4"/>
    <w:rsid w:val="00BC0051"/>
    <w:rsid w:val="00BC299C"/>
    <w:rsid w:val="00BC3177"/>
    <w:rsid w:val="00BC5A5A"/>
    <w:rsid w:val="00BD1E28"/>
    <w:rsid w:val="00C00363"/>
    <w:rsid w:val="00C025DD"/>
    <w:rsid w:val="00C03493"/>
    <w:rsid w:val="00C22694"/>
    <w:rsid w:val="00C338EE"/>
    <w:rsid w:val="00C359CA"/>
    <w:rsid w:val="00C607C1"/>
    <w:rsid w:val="00C77DFD"/>
    <w:rsid w:val="00C84B91"/>
    <w:rsid w:val="00C85755"/>
    <w:rsid w:val="00C875C5"/>
    <w:rsid w:val="00C87E4D"/>
    <w:rsid w:val="00C921C6"/>
    <w:rsid w:val="00C9583E"/>
    <w:rsid w:val="00C97E54"/>
    <w:rsid w:val="00CA2A0D"/>
    <w:rsid w:val="00CB2D53"/>
    <w:rsid w:val="00CC0269"/>
    <w:rsid w:val="00CC4F29"/>
    <w:rsid w:val="00CE1275"/>
    <w:rsid w:val="00CE1B26"/>
    <w:rsid w:val="00CF1F6A"/>
    <w:rsid w:val="00CF406C"/>
    <w:rsid w:val="00D01B78"/>
    <w:rsid w:val="00D043FA"/>
    <w:rsid w:val="00D0592E"/>
    <w:rsid w:val="00D10566"/>
    <w:rsid w:val="00D12CC6"/>
    <w:rsid w:val="00D1467F"/>
    <w:rsid w:val="00D2460E"/>
    <w:rsid w:val="00D24F31"/>
    <w:rsid w:val="00D2614D"/>
    <w:rsid w:val="00D50490"/>
    <w:rsid w:val="00D60235"/>
    <w:rsid w:val="00D603C8"/>
    <w:rsid w:val="00D622C6"/>
    <w:rsid w:val="00D64F40"/>
    <w:rsid w:val="00D65148"/>
    <w:rsid w:val="00D6546A"/>
    <w:rsid w:val="00D65BB2"/>
    <w:rsid w:val="00D678DC"/>
    <w:rsid w:val="00D730EB"/>
    <w:rsid w:val="00D846CB"/>
    <w:rsid w:val="00D85345"/>
    <w:rsid w:val="00D913B2"/>
    <w:rsid w:val="00D954BB"/>
    <w:rsid w:val="00D9627E"/>
    <w:rsid w:val="00DA47C5"/>
    <w:rsid w:val="00DA714F"/>
    <w:rsid w:val="00DA78A7"/>
    <w:rsid w:val="00DB5D7A"/>
    <w:rsid w:val="00DD1F98"/>
    <w:rsid w:val="00DD6FB6"/>
    <w:rsid w:val="00DD713B"/>
    <w:rsid w:val="00DD787D"/>
    <w:rsid w:val="00E002F4"/>
    <w:rsid w:val="00E01F3D"/>
    <w:rsid w:val="00E04479"/>
    <w:rsid w:val="00E07677"/>
    <w:rsid w:val="00E14CF3"/>
    <w:rsid w:val="00E17107"/>
    <w:rsid w:val="00E22D80"/>
    <w:rsid w:val="00E236E8"/>
    <w:rsid w:val="00E30379"/>
    <w:rsid w:val="00E3045E"/>
    <w:rsid w:val="00E40751"/>
    <w:rsid w:val="00E438B3"/>
    <w:rsid w:val="00E47869"/>
    <w:rsid w:val="00E52C75"/>
    <w:rsid w:val="00E53ED8"/>
    <w:rsid w:val="00E550C1"/>
    <w:rsid w:val="00E609AB"/>
    <w:rsid w:val="00E66B6C"/>
    <w:rsid w:val="00E67CE6"/>
    <w:rsid w:val="00E81F3D"/>
    <w:rsid w:val="00E8652A"/>
    <w:rsid w:val="00E8748B"/>
    <w:rsid w:val="00E91006"/>
    <w:rsid w:val="00E92742"/>
    <w:rsid w:val="00E97712"/>
    <w:rsid w:val="00EA3EB3"/>
    <w:rsid w:val="00EA4EDA"/>
    <w:rsid w:val="00EA69F4"/>
    <w:rsid w:val="00EB4EE3"/>
    <w:rsid w:val="00EB53E8"/>
    <w:rsid w:val="00EC29BF"/>
    <w:rsid w:val="00EC3508"/>
    <w:rsid w:val="00ED09B2"/>
    <w:rsid w:val="00ED2B7C"/>
    <w:rsid w:val="00ED4661"/>
    <w:rsid w:val="00ED4C57"/>
    <w:rsid w:val="00ED4FF7"/>
    <w:rsid w:val="00EE04B6"/>
    <w:rsid w:val="00EE1E18"/>
    <w:rsid w:val="00EE2533"/>
    <w:rsid w:val="00EE3692"/>
    <w:rsid w:val="00EE6DA7"/>
    <w:rsid w:val="00EE6FDF"/>
    <w:rsid w:val="00EF18AC"/>
    <w:rsid w:val="00EF75F9"/>
    <w:rsid w:val="00F00698"/>
    <w:rsid w:val="00F03482"/>
    <w:rsid w:val="00F03AE3"/>
    <w:rsid w:val="00F04EF3"/>
    <w:rsid w:val="00F06127"/>
    <w:rsid w:val="00F17B1E"/>
    <w:rsid w:val="00F17E14"/>
    <w:rsid w:val="00F242C4"/>
    <w:rsid w:val="00F44D2D"/>
    <w:rsid w:val="00F45E61"/>
    <w:rsid w:val="00F51C53"/>
    <w:rsid w:val="00F533B4"/>
    <w:rsid w:val="00F7747D"/>
    <w:rsid w:val="00F83C17"/>
    <w:rsid w:val="00F83C40"/>
    <w:rsid w:val="00F96DD0"/>
    <w:rsid w:val="00FA2A3C"/>
    <w:rsid w:val="00FA5658"/>
    <w:rsid w:val="00FB076E"/>
    <w:rsid w:val="00FB7672"/>
    <w:rsid w:val="00FC26B5"/>
    <w:rsid w:val="00FC6A5A"/>
    <w:rsid w:val="00FD06FD"/>
    <w:rsid w:val="00FD2E68"/>
    <w:rsid w:val="00FD525E"/>
    <w:rsid w:val="00FD5AFA"/>
    <w:rsid w:val="00FE0CC4"/>
    <w:rsid w:val="00FE7251"/>
    <w:rsid w:val="00FF4520"/>
    <w:rsid w:val="00FF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86D"/>
    <w:rPr>
      <w:sz w:val="24"/>
      <w:szCs w:val="24"/>
    </w:rPr>
  </w:style>
  <w:style w:type="paragraph" w:styleId="Heading1">
    <w:name w:val="heading 1"/>
    <w:basedOn w:val="Normal"/>
    <w:next w:val="Normal"/>
    <w:link w:val="Heading1Char"/>
    <w:qFormat/>
    <w:rsid w:val="00AE186D"/>
    <w:pPr>
      <w:keepNext/>
      <w:spacing w:before="30" w:line="235" w:lineRule="exact"/>
      <w:outlineLvl w:val="0"/>
    </w:pPr>
    <w:rPr>
      <w:b/>
      <w:bCs/>
    </w:rPr>
  </w:style>
  <w:style w:type="paragraph" w:styleId="Heading3">
    <w:name w:val="heading 3"/>
    <w:basedOn w:val="Normal"/>
    <w:next w:val="Normal"/>
    <w:link w:val="Heading3Char"/>
    <w:semiHidden/>
    <w:unhideWhenUsed/>
    <w:qFormat/>
    <w:rsid w:val="00AE317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E186D"/>
    <w:pPr>
      <w:spacing w:before="28"/>
      <w:ind w:right="90"/>
    </w:pPr>
    <w:rPr>
      <w:sz w:val="19"/>
      <w:szCs w:val="19"/>
    </w:rPr>
  </w:style>
  <w:style w:type="paragraph" w:styleId="FootnoteText">
    <w:name w:val="footnote text"/>
    <w:basedOn w:val="Normal"/>
    <w:link w:val="FootnoteTextChar"/>
    <w:rsid w:val="00C338EE"/>
    <w:rPr>
      <w:sz w:val="20"/>
      <w:szCs w:val="20"/>
    </w:rPr>
  </w:style>
  <w:style w:type="character" w:customStyle="1" w:styleId="FootnoteTextChar">
    <w:name w:val="Footnote Text Char"/>
    <w:basedOn w:val="DefaultParagraphFont"/>
    <w:link w:val="FootnoteText"/>
    <w:rsid w:val="00C338EE"/>
  </w:style>
  <w:style w:type="character" w:styleId="FootnoteReference">
    <w:name w:val="footnote reference"/>
    <w:basedOn w:val="DefaultParagraphFont"/>
    <w:uiPriority w:val="99"/>
    <w:rsid w:val="00C338EE"/>
    <w:rPr>
      <w:vertAlign w:val="superscript"/>
    </w:rPr>
  </w:style>
  <w:style w:type="character" w:customStyle="1" w:styleId="searchterm3">
    <w:name w:val="searchterm3"/>
    <w:basedOn w:val="DefaultParagraphFont"/>
    <w:rsid w:val="00477391"/>
    <w:rPr>
      <w:b/>
      <w:bCs/>
      <w:shd w:val="clear" w:color="auto" w:fill="FFFF00"/>
    </w:rPr>
  </w:style>
  <w:style w:type="character" w:styleId="Hyperlink">
    <w:name w:val="Hyperlink"/>
    <w:basedOn w:val="DefaultParagraphFont"/>
    <w:uiPriority w:val="99"/>
    <w:unhideWhenUsed/>
    <w:rsid w:val="00986C45"/>
    <w:rPr>
      <w:color w:val="0000FF"/>
      <w:u w:val="single"/>
    </w:rPr>
  </w:style>
  <w:style w:type="character" w:styleId="PlaceholderText">
    <w:name w:val="Placeholder Text"/>
    <w:basedOn w:val="DefaultParagraphFont"/>
    <w:uiPriority w:val="99"/>
    <w:semiHidden/>
    <w:rsid w:val="00465220"/>
    <w:rPr>
      <w:color w:val="808080"/>
    </w:rPr>
  </w:style>
  <w:style w:type="paragraph" w:styleId="BalloonText">
    <w:name w:val="Balloon Text"/>
    <w:basedOn w:val="Normal"/>
    <w:link w:val="BalloonTextChar"/>
    <w:rsid w:val="00465220"/>
    <w:rPr>
      <w:rFonts w:ascii="Tahoma" w:hAnsi="Tahoma" w:cs="Tahoma"/>
      <w:sz w:val="16"/>
      <w:szCs w:val="16"/>
    </w:rPr>
  </w:style>
  <w:style w:type="character" w:customStyle="1" w:styleId="BalloonTextChar">
    <w:name w:val="Balloon Text Char"/>
    <w:basedOn w:val="DefaultParagraphFont"/>
    <w:link w:val="BalloonText"/>
    <w:rsid w:val="00465220"/>
    <w:rPr>
      <w:rFonts w:ascii="Tahoma" w:hAnsi="Tahoma" w:cs="Tahoma"/>
      <w:sz w:val="16"/>
      <w:szCs w:val="16"/>
    </w:rPr>
  </w:style>
  <w:style w:type="character" w:customStyle="1" w:styleId="Heading3Char">
    <w:name w:val="Heading 3 Char"/>
    <w:basedOn w:val="DefaultParagraphFont"/>
    <w:link w:val="Heading3"/>
    <w:semiHidden/>
    <w:rsid w:val="00AE317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rsid w:val="00AE3173"/>
    <w:rPr>
      <w:b/>
      <w:bCs/>
      <w:sz w:val="24"/>
      <w:szCs w:val="24"/>
    </w:rPr>
  </w:style>
  <w:style w:type="character" w:customStyle="1" w:styleId="term1">
    <w:name w:val="term1"/>
    <w:basedOn w:val="DefaultParagraphFont"/>
    <w:rsid w:val="00AF0CA0"/>
    <w:rPr>
      <w:b/>
      <w:bCs/>
    </w:rPr>
  </w:style>
  <w:style w:type="character" w:customStyle="1" w:styleId="documentbody1">
    <w:name w:val="documentbody1"/>
    <w:basedOn w:val="DefaultParagraphFont"/>
    <w:rsid w:val="00ED4C57"/>
    <w:rPr>
      <w:rFonts w:ascii="Verdana" w:hAnsi="Verdana" w:hint="default"/>
      <w:sz w:val="19"/>
      <w:szCs w:val="19"/>
    </w:rPr>
  </w:style>
  <w:style w:type="paragraph" w:styleId="ListParagraph">
    <w:name w:val="List Paragraph"/>
    <w:basedOn w:val="Normal"/>
    <w:uiPriority w:val="34"/>
    <w:qFormat/>
    <w:rsid w:val="00956178"/>
    <w:pPr>
      <w:ind w:left="720"/>
      <w:contextualSpacing/>
    </w:pPr>
  </w:style>
  <w:style w:type="paragraph" w:styleId="EndnoteText">
    <w:name w:val="endnote text"/>
    <w:basedOn w:val="Normal"/>
    <w:link w:val="EndnoteTextChar"/>
    <w:rsid w:val="00BA7988"/>
    <w:rPr>
      <w:sz w:val="20"/>
      <w:szCs w:val="20"/>
    </w:rPr>
  </w:style>
  <w:style w:type="character" w:customStyle="1" w:styleId="EndnoteTextChar">
    <w:name w:val="Endnote Text Char"/>
    <w:basedOn w:val="DefaultParagraphFont"/>
    <w:link w:val="EndnoteText"/>
    <w:rsid w:val="00BA7988"/>
  </w:style>
  <w:style w:type="character" w:styleId="EndnoteReference">
    <w:name w:val="endnote reference"/>
    <w:basedOn w:val="DefaultParagraphFont"/>
    <w:rsid w:val="00BA7988"/>
    <w:rPr>
      <w:vertAlign w:val="superscript"/>
    </w:rPr>
  </w:style>
  <w:style w:type="paragraph" w:styleId="BodyTextIndent">
    <w:name w:val="Body Text Indent"/>
    <w:basedOn w:val="Normal"/>
    <w:link w:val="BodyTextIndentChar"/>
    <w:rsid w:val="00067A37"/>
    <w:pPr>
      <w:spacing w:line="470" w:lineRule="exact"/>
      <w:ind w:firstLine="720"/>
    </w:pPr>
    <w:rPr>
      <w:color w:val="000000"/>
      <w:szCs w:val="19"/>
    </w:rPr>
  </w:style>
  <w:style w:type="character" w:customStyle="1" w:styleId="BodyTextIndentChar">
    <w:name w:val="Body Text Indent Char"/>
    <w:basedOn w:val="DefaultParagraphFont"/>
    <w:link w:val="BodyTextIndent"/>
    <w:rsid w:val="00067A37"/>
    <w:rPr>
      <w:color w:val="000000"/>
      <w:sz w:val="24"/>
      <w:szCs w:val="19"/>
    </w:rPr>
  </w:style>
  <w:style w:type="paragraph" w:styleId="BodyTextIndent2">
    <w:name w:val="Body Text Indent 2"/>
    <w:basedOn w:val="Normal"/>
    <w:link w:val="BodyTextIndent2Char"/>
    <w:rsid w:val="00067A37"/>
    <w:pPr>
      <w:ind w:left="720"/>
    </w:pPr>
  </w:style>
  <w:style w:type="character" w:customStyle="1" w:styleId="BodyTextIndent2Char">
    <w:name w:val="Body Text Indent 2 Char"/>
    <w:basedOn w:val="DefaultParagraphFont"/>
    <w:link w:val="BodyTextIndent2"/>
    <w:rsid w:val="00067A37"/>
    <w:rPr>
      <w:sz w:val="24"/>
      <w:szCs w:val="24"/>
    </w:rPr>
  </w:style>
  <w:style w:type="paragraph" w:styleId="Header">
    <w:name w:val="header"/>
    <w:basedOn w:val="Normal"/>
    <w:link w:val="HeaderChar"/>
    <w:rsid w:val="005D2EC8"/>
    <w:pPr>
      <w:tabs>
        <w:tab w:val="center" w:pos="4680"/>
        <w:tab w:val="right" w:pos="9360"/>
      </w:tabs>
    </w:pPr>
  </w:style>
  <w:style w:type="character" w:customStyle="1" w:styleId="HeaderChar">
    <w:name w:val="Header Char"/>
    <w:basedOn w:val="DefaultParagraphFont"/>
    <w:link w:val="Header"/>
    <w:rsid w:val="005D2EC8"/>
    <w:rPr>
      <w:sz w:val="24"/>
      <w:szCs w:val="24"/>
    </w:rPr>
  </w:style>
  <w:style w:type="paragraph" w:styleId="Footer">
    <w:name w:val="footer"/>
    <w:basedOn w:val="Normal"/>
    <w:link w:val="FooterChar"/>
    <w:rsid w:val="005D2EC8"/>
    <w:pPr>
      <w:tabs>
        <w:tab w:val="center" w:pos="4680"/>
        <w:tab w:val="right" w:pos="9360"/>
      </w:tabs>
    </w:pPr>
  </w:style>
  <w:style w:type="character" w:customStyle="1" w:styleId="FooterChar">
    <w:name w:val="Footer Char"/>
    <w:basedOn w:val="DefaultParagraphFont"/>
    <w:link w:val="Footer"/>
    <w:rsid w:val="005D2EC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tf=-1&amp;rs=WLW8.10&amp;referencepositiontype=S&amp;serialnum=1990179921&amp;fn=_top&amp;sv=Split&amp;referenceposition=37&amp;findtype=Y&amp;tc=-1&amp;ordoc=1992136958&amp;db=233&amp;vr=2.0&amp;rp=%2ffind%2fdefault.wl&amp;mt=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2.westlaw.com/find/default.wl?vc=0&amp;ordoc=1991062176&amp;rp=%2ffind%2fdefault.wl&amp;SerialNum=1990172612&amp;FindType=Y&amp;AP=&amp;fn=_top&amp;rs=WLW8.10&amp;mt=7&amp;vr=2.0&amp;sv=Split" TargetMode="External"/><Relationship Id="rId4" Type="http://schemas.openxmlformats.org/officeDocument/2006/relationships/settings" Target="settings.xml"/><Relationship Id="rId9" Type="http://schemas.openxmlformats.org/officeDocument/2006/relationships/hyperlink" Target="http://web2.westlaw.com/find/default.wl?vc=0&amp;ordoc=1991062176&amp;rp=%2ffind%2fdefault.wl&amp;SerialNum=1990179921&amp;FindType=Y&amp;AP=&amp;fn=_top&amp;rs=WLW8.10&amp;mt=7&amp;vr=2.0&amp;sv=Spl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RVW_Wrkgp\Rvw-Forms\Opinion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4C0C4-9477-48F0-A51B-9F9AEFA7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Opinion_form.dot</Template>
  <TotalTime>0</TotalTime>
  <Pages>20</Pages>
  <Words>6072</Words>
  <Characters>33908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Thomas</dc:creator>
  <cp:keywords/>
  <dc:description/>
  <cp:lastModifiedBy>RUIZM</cp:lastModifiedBy>
  <cp:revision>2</cp:revision>
  <cp:lastPrinted>2009-02-03T19:01:00Z</cp:lastPrinted>
  <dcterms:created xsi:type="dcterms:W3CDTF">2009-02-10T21:13:00Z</dcterms:created>
  <dcterms:modified xsi:type="dcterms:W3CDTF">2009-02-10T21:13:00Z</dcterms:modified>
</cp:coreProperties>
</file>