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14, 2011</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EDWARD A. QUESADA,</w:t>
            </w:r>
          </w:p>
          <w:p>
            <w:pPr>
              <w:rPr>
                <w:b/>
                <w:bCs/>
              </w:rPr>
            </w:pPr>
          </w:p>
          <w:p>
            <w:pPr>
              <w:rPr>
                <w:b/>
                <w:bCs/>
              </w:rPr>
            </w:pPr>
            <w:r>
              <w:rPr>
                <w:b/>
                <w:bCs/>
              </w:rPr>
              <w:t>Member No.  152910,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Cs/>
              </w:rPr>
            </w:pPr>
            <w:r>
              <w:rPr>
                <w:bCs/>
              </w:rPr>
              <w:t>06-O-12100-RAH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SEALING CERTAIN DOCUMENTS</w:t>
            </w:r>
          </w:p>
        </w:tc>
      </w:tr>
    </w:tbl>
    <w:p>
      <w:pPr>
        <w:spacing w:line="480" w:lineRule="auto"/>
      </w:pPr>
    </w:p>
    <w:p>
      <w:pPr>
        <w:spacing w:line="480" w:lineRule="auto"/>
        <w:jc w:val="center"/>
        <w:rPr>
          <w:b/>
        </w:rPr>
      </w:pPr>
      <w:r>
        <w:rPr>
          <w:b/>
          <w:u w:val="single"/>
        </w:rPr>
        <w:t>Introduction</w:t>
      </w:r>
      <w:r>
        <w:rPr>
          <w:rStyle w:val="FootnoteReference"/>
        </w:rPr>
        <w:footnoteReference w:id="1"/>
      </w:r>
    </w:p>
    <w:p>
      <w:pPr>
        <w:spacing w:line="480" w:lineRule="auto"/>
        <w:ind w:firstLine="720"/>
      </w:pPr>
      <w:r>
        <w:t xml:space="preserve">In this original disciplinary proceeding, respondent Edward A. Quesada (respondent) 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three years, that execution of that period of suspension be stayed, and that he be placed on probation for two years subject to certain conditions, including a 60-day period of suspension (with credit given for the period of inactive enrollment under section 6233).  </w:t>
      </w:r>
    </w:p>
    <w:p>
      <w:pPr>
        <w:spacing w:line="480" w:lineRule="auto"/>
      </w:pPr>
      <w:r>
        <w:t>/ / /</w:t>
      </w:r>
    </w:p>
    <w:p>
      <w:pPr>
        <w:spacing w:line="480" w:lineRule="auto"/>
      </w:pPr>
      <w:r>
        <w:t>/ / /</w:t>
      </w:r>
    </w:p>
    <w:p>
      <w:pPr>
        <w:spacing w:line="480" w:lineRule="auto"/>
      </w:pPr>
      <w:r>
        <w:t>/ / /</w:t>
      </w:r>
    </w:p>
    <w:p>
      <w:pPr>
        <w:jc w:val="center"/>
        <w:rPr>
          <w:b/>
          <w:u w:val="single"/>
        </w:rPr>
      </w:pPr>
      <w:r>
        <w:rPr>
          <w:b/>
          <w:u w:val="single"/>
        </w:rPr>
        <w:lastRenderedPageBreak/>
        <w:t>Significant Procedural History</w:t>
      </w:r>
    </w:p>
    <w:p>
      <w:pPr>
        <w:jc w:val="center"/>
        <w:rPr>
          <w:b/>
          <w:u w:val="single"/>
        </w:rPr>
      </w:pPr>
    </w:p>
    <w:p>
      <w:pPr>
        <w:spacing w:line="480" w:lineRule="auto"/>
        <w:ind w:firstLine="720"/>
      </w:pPr>
      <w:r>
        <w:t>The State Bar of California, Office of the Chief Trial Counsel (State Bar) filed a Notice of Disciplinary Charges (NDC) against respondent on December 17, 2007, in case no. 06-O-12100.  The matter was assigned to the Honorable Richard A. Platel.</w:t>
      </w:r>
    </w:p>
    <w:p>
      <w:pPr>
        <w:spacing w:line="480" w:lineRule="auto"/>
        <w:ind w:firstLine="720"/>
      </w:pPr>
      <w:r>
        <w:t xml:space="preserve">On January 15, 2008, respondent contacted the State Bar’s Lawyer Assistance Program (LAP) to assist him with his mental health issues. </w:t>
      </w:r>
    </w:p>
    <w:p>
      <w:pPr>
        <w:spacing w:line="480" w:lineRule="auto"/>
        <w:ind w:firstLine="720"/>
      </w:pPr>
      <w:r>
        <w:t>Following a status conference, Judge Platel filed an order on February 4, 2008, referring this matter to the undersigned judge for evaluation of respondent’s eligibility for participation in the court’s ADP.   This matter was reassigned to the undersigned judge for all further proceedings pursuant to an order filed on February 13, 2008.</w:t>
      </w:r>
    </w:p>
    <w:p>
      <w:pPr>
        <w:spacing w:line="480" w:lineRule="auto"/>
      </w:pPr>
      <w:r>
        <w:tab/>
        <w:t>On March 28, 2008, respondent submitted a declaration to the court which established a nexus between respondent’s mental health issues and his misconduct in this matter.  Respondent entered into a long-term Participation Plan with the LAP on May 21, 2008.</w:t>
      </w:r>
      <w:r>
        <w:tab/>
      </w:r>
    </w:p>
    <w:p>
      <w:pPr>
        <w:spacing w:line="480" w:lineRule="auto"/>
      </w:pPr>
      <w:r>
        <w:tab/>
        <w:t>On March 28, 2008, the parties also entered into a Stipulation Re Facts and Conclusions of Law (Stipulation), which was received by the court that same day.</w:t>
      </w:r>
    </w:p>
    <w:p>
      <w:pPr>
        <w:spacing w:line="480" w:lineRule="auto"/>
        <w:rPr>
          <w:b/>
        </w:rPr>
      </w:pPr>
      <w:r>
        <w:tab/>
        <w:t>Following briefing by the parties, the court advised the parties of (1) the discipline which would be recommended to the Supreme Court if respondent successfully completed the ADP, and (2) the discipline which would be recommended to the Supreme Court if respondent was terminated from, or failed to successfully complete, the ADP. After agreeing to the alternative discipline recommendations, the court memorialized in writing the alternative discipline recommendations in a Confidential Statement of Alternative Dispositions and Orders (Confidential Statement); respondent executed a Contract and Waiver for Participation in the State Bar Court’s ADP (Contract);</w:t>
      </w:r>
      <w:r>
        <w:rPr>
          <w:rStyle w:val="FootnoteReference"/>
        </w:rPr>
        <w:t xml:space="preserve"> </w:t>
      </w:r>
      <w:r>
        <w:rPr>
          <w:rStyle w:val="FootnoteReference"/>
        </w:rPr>
        <w:footnoteReference w:id="2"/>
      </w:r>
      <w:r>
        <w:t xml:space="preserve"> the court signed an order approving the parties’ Stipulation; the Stipulation was filed; the court accepted respondent for participation in the ADP; and respondent’s period of participation in the ADP commenced on July 29, 2008.</w:t>
      </w:r>
      <w:r>
        <w:rPr>
          <w:rStyle w:val="FootnoteReference"/>
        </w:rPr>
        <w:t xml:space="preserve"> </w:t>
      </w:r>
      <w:r>
        <w:rPr>
          <w:rStyle w:val="FootnoteReference"/>
        </w:rPr>
        <w:footnoteReference w:id="3"/>
      </w:r>
      <w:r>
        <w:t xml:space="preserve"> </w:t>
      </w:r>
    </w:p>
    <w:p>
      <w:pPr>
        <w:spacing w:line="480" w:lineRule="auto"/>
        <w:ind w:firstLine="720"/>
      </w:pPr>
      <w:r>
        <w:t xml:space="preserve">On August 4, 2008, the court issued an order pursuant to section 6233 enrolling respondent as an inactive member of the State Bar effective December 15, 2008. </w:t>
      </w:r>
    </w:p>
    <w:p>
      <w:pPr>
        <w:spacing w:line="480" w:lineRule="auto"/>
        <w:ind w:firstLine="720"/>
      </w:pPr>
      <w:r>
        <w:t xml:space="preserve">On January 20, 2009, the court filed an order finding good cause to terminate respondent’s involuntary inactive enrollment effective February 14, 2009. </w:t>
      </w:r>
    </w:p>
    <w:p>
      <w:pPr>
        <w:spacing w:line="480" w:lineRule="auto"/>
        <w:rPr>
          <w:b/>
        </w:rPr>
      </w:pPr>
      <w:r>
        <w:tab/>
        <w:t>On July 1, 2010, the court received a report from a mental health professional regarding respondent’s mental stability which was satisfactory to the court. At a status conference on March 22, 2011, the court found that respondent has successfully completed the ADP, and this matter was submitted for decision on that date.</w:t>
      </w:r>
      <w:r>
        <w:rPr>
          <w:rStyle w:val="FootnoteReference"/>
        </w:rPr>
        <w:footnoteReference w:id="4"/>
      </w:r>
    </w:p>
    <w:p>
      <w:pPr>
        <w:spacing w:line="480" w:lineRule="auto"/>
        <w:jc w:val="center"/>
        <w:rPr>
          <w:b/>
          <w:u w:val="single"/>
        </w:rPr>
      </w:pPr>
      <w:r>
        <w:rPr>
          <w:b/>
          <w:u w:val="single"/>
        </w:rPr>
        <w:t>Findings of Fact and Conclusions of Law</w:t>
      </w:r>
    </w:p>
    <w:p>
      <w:pPr>
        <w:spacing w:line="480" w:lineRule="auto"/>
        <w:rPr>
          <w:b/>
        </w:rPr>
      </w:pPr>
      <w:r>
        <w:rPr>
          <w:b/>
        </w:rPr>
        <w:t>I.  Culpability Findings</w:t>
      </w:r>
    </w:p>
    <w:p>
      <w:pPr>
        <w:spacing w:line="480" w:lineRule="auto"/>
        <w:rPr>
          <w:b/>
        </w:rPr>
      </w:pPr>
      <w:r>
        <w:t xml:space="preserve">     </w:t>
      </w:r>
      <w:r>
        <w:rPr>
          <w:b/>
        </w:rPr>
        <w:t>Case No. 06-O-12100 – The Sanchez Matter</w:t>
      </w:r>
    </w:p>
    <w:p>
      <w:pPr>
        <w:pStyle w:val="Header"/>
        <w:tabs>
          <w:tab w:val="clear" w:pos="4320"/>
          <w:tab w:val="clear" w:pos="8640"/>
        </w:tabs>
        <w:spacing w:line="480" w:lineRule="auto"/>
        <w:ind w:firstLine="720"/>
      </w:pPr>
      <w:r>
        <w:t xml:space="preserve">The parties’ Stipulation, including the court’s order approving the Stipulation, is attached hereto and hereby incorporated by reference, as if fully set forth herein.  </w:t>
      </w:r>
    </w:p>
    <w:p>
      <w:pPr>
        <w:pStyle w:val="Header"/>
        <w:tabs>
          <w:tab w:val="clear" w:pos="4320"/>
          <w:tab w:val="clear" w:pos="8640"/>
        </w:tabs>
        <w:spacing w:line="480" w:lineRule="auto"/>
        <w:ind w:firstLine="720"/>
      </w:pPr>
      <w:r>
        <w:t>Respondent stipulated to a willful violation of rule 4-100(A) for failing to maintain client funds in a trust account. He also stipulated that by misappropriating $20,200 of his client’s settlement funds, he committed acts involving moral turpitude and dishonesty in willful violation of section 6106.</w:t>
      </w:r>
    </w:p>
    <w:p>
      <w:pPr>
        <w:pStyle w:val="Header"/>
        <w:tabs>
          <w:tab w:val="clear" w:pos="4320"/>
          <w:tab w:val="clear" w:pos="8640"/>
        </w:tabs>
        <w:spacing w:line="480" w:lineRule="auto"/>
        <w:rPr>
          <w:b/>
        </w:rPr>
      </w:pPr>
      <w:r>
        <w:rPr>
          <w:b/>
        </w:rPr>
        <w:t>II.  Aggravation</w:t>
      </w:r>
      <w:r>
        <w:rPr>
          <w:rStyle w:val="FootnoteReference"/>
        </w:rPr>
        <w:footnoteReference w:id="5"/>
      </w:r>
    </w:p>
    <w:p>
      <w:pPr>
        <w:pStyle w:val="Header"/>
        <w:tabs>
          <w:tab w:val="clear" w:pos="4320"/>
          <w:tab w:val="clear" w:pos="8640"/>
        </w:tabs>
        <w:spacing w:line="480" w:lineRule="auto"/>
      </w:pPr>
      <w:r>
        <w:tab/>
        <w:t xml:space="preserve">No aggravating circumstances are involved. </w:t>
      </w:r>
    </w:p>
    <w:p>
      <w:pPr>
        <w:pStyle w:val="Header"/>
        <w:tabs>
          <w:tab w:val="clear" w:pos="4320"/>
          <w:tab w:val="clear" w:pos="8640"/>
        </w:tabs>
        <w:spacing w:line="480" w:lineRule="auto"/>
      </w:pPr>
      <w:r>
        <w:rPr>
          <w:b/>
        </w:rPr>
        <w:t>II.  Mitigation</w:t>
      </w:r>
      <w:r>
        <w:t xml:space="preserve"> </w:t>
      </w:r>
    </w:p>
    <w:p>
      <w:pPr>
        <w:pStyle w:val="Header"/>
        <w:tabs>
          <w:tab w:val="clear" w:pos="4320"/>
          <w:tab w:val="clear" w:pos="8640"/>
        </w:tabs>
        <w:spacing w:line="480" w:lineRule="auto"/>
        <w:rPr>
          <w:b/>
        </w:rPr>
      </w:pPr>
      <w:r>
        <w:tab/>
      </w:r>
      <w:r>
        <w:rPr>
          <w:b/>
        </w:rPr>
        <w:t>No Prior Record (Std. 1.2(e)(i).)</w:t>
      </w:r>
    </w:p>
    <w:p>
      <w:pPr>
        <w:pStyle w:val="Header"/>
        <w:tabs>
          <w:tab w:val="clear" w:pos="4320"/>
          <w:tab w:val="clear" w:pos="8640"/>
        </w:tabs>
        <w:spacing w:line="480" w:lineRule="auto"/>
      </w:pPr>
      <w:r>
        <w:tab/>
        <w:t xml:space="preserve">In mitigation, respondent has no prior record of discipline.  Respondent had practiced law for 12 years at the time of his first act of misconduct.  </w:t>
      </w:r>
    </w:p>
    <w:p>
      <w:pPr>
        <w:pStyle w:val="Header"/>
        <w:tabs>
          <w:tab w:val="clear" w:pos="4320"/>
          <w:tab w:val="clear" w:pos="8640"/>
        </w:tabs>
        <w:spacing w:line="480" w:lineRule="auto"/>
        <w:ind w:firstLine="720"/>
        <w:rPr>
          <w:b/>
        </w:rPr>
      </w:pPr>
      <w:r>
        <w:rPr>
          <w:b/>
        </w:rPr>
        <w:t>Extreme Emotional/Physical Difficulties (Std. 1.2(e)(iv).)</w:t>
      </w:r>
    </w:p>
    <w:p>
      <w:pPr>
        <w:pStyle w:val="Header"/>
        <w:tabs>
          <w:tab w:val="clear" w:pos="4320"/>
          <w:tab w:val="clear" w:pos="8640"/>
        </w:tabs>
        <w:spacing w:line="480" w:lineRule="auto"/>
        <w:ind w:firstLine="720"/>
      </w:pPr>
      <w:r>
        <w:t xml:space="preserve">Respondent was experiencing intense marital discord in 2003, which resulted in contentious divorce proceedings from January 2004 to April 2006. In addition, it is appropriate to now consider respondent’s successful completion of the ADP as a mitigating circumstance in this matter.  </w:t>
      </w:r>
    </w:p>
    <w:p>
      <w:pPr>
        <w:pStyle w:val="Header"/>
        <w:tabs>
          <w:tab w:val="clear" w:pos="4320"/>
          <w:tab w:val="clear" w:pos="8640"/>
        </w:tabs>
        <w:spacing w:line="480" w:lineRule="auto"/>
      </w:pPr>
      <w:r>
        <w:rPr>
          <w:b/>
        </w:rPr>
        <w:tab/>
        <w:t>Candor/Cooperation to Victims/State Bar (Std. 1.2(e)(v).)</w:t>
      </w:r>
    </w:p>
    <w:p>
      <w:pPr>
        <w:pStyle w:val="Header"/>
        <w:tabs>
          <w:tab w:val="clear" w:pos="4320"/>
          <w:tab w:val="clear" w:pos="8640"/>
        </w:tabs>
        <w:spacing w:line="480" w:lineRule="auto"/>
        <w:ind w:firstLine="720"/>
      </w:pPr>
      <w:r>
        <w:t>Respondent displayed spontaneous cooperation and candor with the State Bar during disciplinary investigation and proceedings in case no. 06-O-12100.</w:t>
      </w:r>
    </w:p>
    <w:p>
      <w:pPr>
        <w:pStyle w:val="Header"/>
        <w:tabs>
          <w:tab w:val="clear" w:pos="4320"/>
          <w:tab w:val="clear" w:pos="8640"/>
        </w:tabs>
        <w:spacing w:line="480" w:lineRule="auto"/>
        <w:jc w:val="center"/>
        <w:rPr>
          <w:b/>
          <w:u w:val="single"/>
        </w:rPr>
      </w:pPr>
      <w:r>
        <w:rPr>
          <w:b/>
          <w:u w:val="single"/>
        </w:rPr>
        <w:t>Discussion</w:t>
      </w:r>
    </w:p>
    <w:p>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ind w:firstLine="720"/>
        <w:rPr>
          <w:b/>
        </w:rPr>
      </w:pPr>
      <w:r>
        <w:t>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w:t>
      </w:r>
      <w:r>
        <w:rPr>
          <w:b/>
        </w:rPr>
        <w:t xml:space="preserve">  </w:t>
      </w:r>
      <w:r>
        <w:t xml:space="preserve">In particular, the court considered standards 1.2, 1.3, 1.4, 1.5, 1.6, 2.2(a), and 2.3 and </w:t>
      </w:r>
      <w:r>
        <w:rPr>
          <w:i/>
        </w:rPr>
        <w:t>In the Matter of Dyson</w:t>
      </w:r>
      <w:r>
        <w:t xml:space="preserve"> (Review Dept. 1990) 1 Cal. State Bar Ct. Rptr. 280; </w:t>
      </w:r>
      <w:r>
        <w:rPr>
          <w:i/>
        </w:rPr>
        <w:t>In the Matter of Robins</w:t>
      </w:r>
      <w:r>
        <w:t xml:space="preserve"> (Review Dept. 1991) 1 Cal. State Bar Ct. Rptr. 708; </w:t>
      </w:r>
      <w:r>
        <w:rPr>
          <w:i/>
        </w:rPr>
        <w:t xml:space="preserve">Howard v. State Bar </w:t>
      </w:r>
      <w:r>
        <w:t xml:space="preserve">(1990) 51 Cal.3d 215; </w:t>
      </w:r>
      <w:r>
        <w:rPr>
          <w:i/>
        </w:rPr>
        <w:t xml:space="preserve">Bates v. State Bar </w:t>
      </w:r>
      <w:r>
        <w:t xml:space="preserve">(1990) 51 Cal.3d 1056; </w:t>
      </w:r>
      <w:r>
        <w:rPr>
          <w:i/>
        </w:rPr>
        <w:t>Chefsky v. State Bar</w:t>
      </w:r>
      <w:r>
        <w:t xml:space="preserve"> (1984) 36 Cal.3d 116; </w:t>
      </w:r>
      <w:r>
        <w:rPr>
          <w:i/>
        </w:rPr>
        <w:t>Chasteen v. State Bar</w:t>
      </w:r>
      <w:r>
        <w:t xml:space="preserve"> (1985) 40 Cal.3d 586; </w:t>
      </w:r>
      <w:r>
        <w:rPr>
          <w:i/>
        </w:rPr>
        <w:t>Waysman v. State Bar</w:t>
      </w:r>
      <w:r>
        <w:t xml:space="preserve"> (1986) 41 Cal.3d 452; </w:t>
      </w:r>
      <w:r>
        <w:rPr>
          <w:i/>
        </w:rPr>
        <w:t xml:space="preserve">In the Matter of Blum </w:t>
      </w:r>
      <w:r>
        <w:t xml:space="preserve">(Review Dept. 2002) 4 Cal. State Bar Ct. Rptr. 403. </w:t>
      </w:r>
    </w:p>
    <w:p>
      <w:pPr>
        <w:pStyle w:val="Header"/>
        <w:tabs>
          <w:tab w:val="clear" w:pos="4320"/>
          <w:tab w:val="clear" w:pos="8640"/>
        </w:tabs>
        <w:spacing w:line="480" w:lineRule="auto"/>
        <w:ind w:firstLine="720"/>
      </w:pPr>
      <w:r>
        <w:t xml:space="preserve">Because Respondent has now successfully completed the ADP, this court, in turn, now recommends to the Supreme Court the imposition of the lower level of discipline, set forth more fully below.  </w:t>
      </w:r>
    </w:p>
    <w:p>
      <w:pPr>
        <w:pStyle w:val="Header"/>
        <w:tabs>
          <w:tab w:val="clear" w:pos="4320"/>
          <w:tab w:val="clear" w:pos="8640"/>
        </w:tabs>
        <w:spacing w:line="480" w:lineRule="auto"/>
        <w:jc w:val="center"/>
        <w:rPr>
          <w:b/>
          <w:u w:val="single"/>
        </w:rPr>
      </w:pPr>
      <w:r>
        <w:rPr>
          <w:b/>
          <w:u w:val="single"/>
        </w:rPr>
        <w:t>Recommendations</w:t>
      </w:r>
    </w:p>
    <w:p>
      <w:pPr>
        <w:pStyle w:val="Header"/>
        <w:tabs>
          <w:tab w:val="clear" w:pos="4320"/>
          <w:tab w:val="clear" w:pos="8640"/>
        </w:tabs>
        <w:spacing w:line="480" w:lineRule="auto"/>
        <w:ind w:firstLine="720"/>
      </w:pPr>
      <w:r>
        <w:t>It is hereby recommended that respondent Edward A. Quesada, State Bar Number 152910, be suspended from the practice of law in California for three years, that execution of that period of suspension be stayed, and that he be placed on probation</w:t>
      </w:r>
      <w:r>
        <w:rPr>
          <w:rStyle w:val="FootnoteReference"/>
        </w:rPr>
        <w:footnoteReference w:id="6"/>
      </w:r>
      <w:r>
        <w:t xml:space="preserve"> for a period of two years subject to the following conditions:</w:t>
      </w:r>
    </w:p>
    <w:p>
      <w:pPr>
        <w:pStyle w:val="Header"/>
        <w:tabs>
          <w:tab w:val="clear" w:pos="4320"/>
          <w:tab w:val="clear" w:pos="8640"/>
        </w:tabs>
        <w:ind w:firstLine="720"/>
      </w:pPr>
      <w:r>
        <w:t xml:space="preserve">Respondent Edward A. Quesada is suspended from the practice of law for the </w:t>
      </w:r>
      <w:r>
        <w:tab/>
      </w:r>
      <w:r>
        <w:tab/>
        <w:t xml:space="preserve">first 60 days of probation (with credit given for inactive enrollment, which was effective </w:t>
      </w:r>
      <w:r>
        <w:tab/>
      </w:r>
      <w:r>
        <w:tab/>
        <w:t xml:space="preserve">December 15, 2008, through February 13, 2009 (Bus. &amp; Prof. Code, §6233)).  </w:t>
      </w:r>
    </w:p>
    <w:p>
      <w:pPr>
        <w:pStyle w:val="Header"/>
        <w:tabs>
          <w:tab w:val="clear" w:pos="4320"/>
          <w:tab w:val="clear" w:pos="8640"/>
        </w:tabs>
      </w:pPr>
    </w:p>
    <w:p>
      <w:pPr>
        <w:pStyle w:val="Header"/>
        <w:tabs>
          <w:tab w:val="clear" w:pos="4320"/>
          <w:tab w:val="clear" w:pos="8640"/>
        </w:tabs>
        <w:ind w:left="720" w:hanging="1440"/>
      </w:pPr>
      <w:r>
        <w:tab/>
        <w:t xml:space="preserve">During the probation period, respondent must comply with the provisions of the State Bar Act and the Rules of Professional Conduct of the State Bar of California; </w:t>
      </w:r>
    </w:p>
    <w:p>
      <w:pPr>
        <w:pStyle w:val="Header"/>
        <w:tabs>
          <w:tab w:val="clear" w:pos="4320"/>
          <w:tab w:val="clear" w:pos="8640"/>
        </w:tabs>
        <w:ind w:left="720" w:hanging="1440"/>
      </w:pPr>
      <w:r>
        <w:tab/>
      </w:r>
    </w:p>
    <w:p>
      <w:pPr>
        <w:pStyle w:val="Header"/>
        <w:tabs>
          <w:tab w:val="clear" w:pos="4320"/>
          <w:tab w:val="clear" w:pos="8640"/>
        </w:tabs>
        <w:ind w:left="720" w:hanging="1440"/>
      </w:pPr>
      <w:r>
        <w:tab/>
        <w:t xml:space="preserve">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pPr>
        <w:pStyle w:val="Header"/>
        <w:tabs>
          <w:tab w:val="clear" w:pos="4320"/>
          <w:tab w:val="clear" w:pos="8640"/>
        </w:tabs>
        <w:ind w:left="720" w:hanging="1440"/>
      </w:pPr>
    </w:p>
    <w:p>
      <w:pPr>
        <w:pStyle w:val="Header"/>
        <w:tabs>
          <w:tab w:val="clear" w:pos="4320"/>
          <w:tab w:val="clear" w:pos="8640"/>
        </w:tabs>
        <w:ind w:left="720" w:hanging="1440"/>
      </w:pPr>
      <w:r>
        <w:tab/>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Header"/>
        <w:tabs>
          <w:tab w:val="clear" w:pos="4320"/>
          <w:tab w:val="clear" w:pos="8640"/>
        </w:tabs>
        <w:ind w:left="720" w:hanging="1440"/>
      </w:pPr>
    </w:p>
    <w:p>
      <w:pPr>
        <w:pStyle w:val="Header"/>
        <w:tabs>
          <w:tab w:val="clear" w:pos="4320"/>
          <w:tab w:val="clear" w:pos="8640"/>
        </w:tabs>
        <w:ind w:left="720" w:hanging="1440"/>
      </w:pPr>
      <w:r>
        <w:tab/>
        <w:t xml:space="preserve">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 </w:t>
      </w:r>
    </w:p>
    <w:p>
      <w:pPr>
        <w:pStyle w:val="Header"/>
        <w:tabs>
          <w:tab w:val="clear" w:pos="4320"/>
          <w:tab w:val="clear" w:pos="8640"/>
        </w:tabs>
        <w:ind w:left="720" w:hanging="1440"/>
      </w:pPr>
    </w:p>
    <w:p>
      <w:pPr>
        <w:pStyle w:val="Header"/>
        <w:tabs>
          <w:tab w:val="clear" w:pos="4320"/>
          <w:tab w:val="clear" w:pos="8640"/>
        </w:tabs>
        <w:ind w:left="720" w:hanging="1440"/>
      </w:pPr>
      <w:r>
        <w:t xml:space="preserve"> </w:t>
      </w:r>
      <w:r>
        <w:tab/>
        <w:t>In addition to all quarterly reports, a final report, containing the same information, is due no earlier than 20 days before the last day of the period of probation and no later than the last day of the probation period;</w:t>
      </w:r>
    </w:p>
    <w:p>
      <w:pPr>
        <w:pStyle w:val="Header"/>
        <w:tabs>
          <w:tab w:val="clear" w:pos="4320"/>
          <w:tab w:val="clear" w:pos="8640"/>
        </w:tabs>
        <w:ind w:left="720" w:hanging="1440"/>
      </w:pPr>
    </w:p>
    <w:p>
      <w:pPr>
        <w:pStyle w:val="Header"/>
        <w:tabs>
          <w:tab w:val="clear" w:pos="4320"/>
          <w:tab w:val="clear" w:pos="8640"/>
        </w:tabs>
        <w:ind w:left="720" w:hanging="1440"/>
      </w:pPr>
      <w:r>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pStyle w:val="Header"/>
        <w:tabs>
          <w:tab w:val="clear" w:pos="4320"/>
          <w:tab w:val="clear" w:pos="8640"/>
        </w:tabs>
        <w:ind w:left="720" w:hanging="1440"/>
      </w:pPr>
    </w:p>
    <w:p>
      <w:pPr>
        <w:pStyle w:val="Header"/>
        <w:tabs>
          <w:tab w:val="clear" w:pos="4320"/>
          <w:tab w:val="clear" w:pos="8640"/>
        </w:tabs>
        <w:ind w:left="720" w:hanging="1440"/>
      </w:pPr>
      <w:r>
        <w:tab/>
        <w:t>Within one year of the effective date of the discipline herein, respondent must provide to the Office of Probation satisfactory proof of attendance at a session of the Ethics School, and passage of the test given at the end of that session; and</w:t>
      </w:r>
    </w:p>
    <w:p>
      <w:pPr>
        <w:pStyle w:val="Header"/>
        <w:tabs>
          <w:tab w:val="clear" w:pos="4320"/>
          <w:tab w:val="clear" w:pos="8640"/>
        </w:tabs>
        <w:ind w:left="720" w:hanging="1440"/>
      </w:pPr>
    </w:p>
    <w:p>
      <w:pPr>
        <w:pStyle w:val="Header"/>
        <w:tabs>
          <w:tab w:val="clear" w:pos="4320"/>
          <w:tab w:val="clear" w:pos="8640"/>
        </w:tabs>
        <w:ind w:left="720" w:hanging="1440"/>
      </w:pPr>
      <w:r>
        <w:tab/>
        <w:t>Within one year of the effective date of the discipline herein, respondent must supply to the Office of Probation, satisfactory proof of attendance at a session of the Ethics School Client Trust Accounting School, within the same period of time, and passage of the test given at the end of that session; and</w:t>
      </w:r>
    </w:p>
    <w:p>
      <w:pPr>
        <w:pStyle w:val="Header"/>
        <w:tabs>
          <w:tab w:val="clear" w:pos="4320"/>
          <w:tab w:val="clear" w:pos="8640"/>
        </w:tabs>
      </w:pPr>
    </w:p>
    <w:p>
      <w:pPr>
        <w:pStyle w:val="Header"/>
        <w:tabs>
          <w:tab w:val="clear" w:pos="4320"/>
          <w:tab w:val="clear" w:pos="8640"/>
        </w:tabs>
        <w:ind w:left="720" w:hanging="1440"/>
      </w:pPr>
      <w:r>
        <w:tab/>
        <w:t xml:space="preserve">Respondent must comply with all provisions and conditions of his Participation Agreement/Plan with the Lawyer Assistance Program (LAP) and must provide the Office of Probation with certification of completion of the LAP.  Respondent must immediately report any non-compliance with any provision(s) or condition(s) of his Participation Agreement/Plan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     </w:t>
      </w:r>
    </w:p>
    <w:p>
      <w:pPr>
        <w:pStyle w:val="Header"/>
        <w:tabs>
          <w:tab w:val="clear" w:pos="4320"/>
          <w:tab w:val="clear" w:pos="8640"/>
        </w:tabs>
        <w:ind w:left="2880" w:hanging="720"/>
      </w:pPr>
    </w:p>
    <w:p>
      <w:pPr>
        <w:pStyle w:val="Header"/>
        <w:tabs>
          <w:tab w:val="clear" w:pos="4320"/>
          <w:tab w:val="clear" w:pos="8640"/>
        </w:tabs>
        <w:spacing w:line="480" w:lineRule="auto"/>
        <w:ind w:firstLine="720"/>
      </w:pPr>
      <w:r>
        <w:t xml:space="preserve">At the expiration of the period of probation, if Edward A. Quesada has complied with all conditions of probation, the three-year period of stayed suspension will be satisfied. </w:t>
      </w:r>
    </w:p>
    <w:p>
      <w:pPr>
        <w:pStyle w:val="Header"/>
        <w:tabs>
          <w:tab w:val="clear" w:pos="4320"/>
          <w:tab w:val="clear" w:pos="8640"/>
        </w:tabs>
        <w:spacing w:line="480" w:lineRule="auto"/>
        <w:rPr>
          <w:b/>
        </w:rPr>
      </w:pPr>
      <w:r>
        <w:rPr>
          <w:b/>
        </w:rPr>
        <w:t>Multistate Professional Responsibility Examination</w:t>
      </w:r>
    </w:p>
    <w:p>
      <w:pPr>
        <w:pStyle w:val="Header"/>
        <w:tabs>
          <w:tab w:val="clear" w:pos="4320"/>
          <w:tab w:val="clear" w:pos="8640"/>
        </w:tabs>
        <w:spacing w:line="480" w:lineRule="auto"/>
        <w:ind w:firstLine="720"/>
      </w:pPr>
      <w:r>
        <w:t xml:space="preserve">It is further recommended that Edward A. Quesada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It is further recommended that costs be paid with respondent’s membership fees for the year 2012. If respondent fails to pay costs as described above, or as may be modified by the State Bar Court, costs are due and payable immediately. </w:t>
      </w:r>
    </w:p>
    <w:p>
      <w:pPr>
        <w:pStyle w:val="Header"/>
        <w:tabs>
          <w:tab w:val="clear" w:pos="4320"/>
          <w:tab w:val="clear" w:pos="8640"/>
        </w:tabs>
        <w:spacing w:line="480" w:lineRule="auto"/>
        <w:jc w:val="center"/>
        <w:rPr>
          <w:b/>
          <w:u w:val="single"/>
        </w:rPr>
      </w:pPr>
      <w:r>
        <w:rPr>
          <w:b/>
          <w:u w:val="single"/>
        </w:rPr>
        <w:t>Direction Re Decision and Order Sealing Certain Documents</w:t>
      </w:r>
    </w:p>
    <w:p>
      <w:pPr>
        <w:pStyle w:val="Header"/>
        <w:tabs>
          <w:tab w:val="clear" w:pos="4320"/>
          <w:tab w:val="clear" w:pos="8640"/>
        </w:tabs>
        <w:spacing w:line="480" w:lineRule="auto"/>
        <w:ind w:firstLine="720"/>
      </w:pPr>
      <w:r>
        <w:t>The court directs a court case administrator to file this Decision and Order Sealing Certain Documents.  Thereafter, pursuant to rule 5.388(c) (former rule 806(c)) of the Rules of Procedure of the State Bar of California (Rules of Procedure),</w:t>
      </w:r>
      <w:r>
        <w:rPr>
          <w:rStyle w:val="FootnoteReference"/>
        </w:rPr>
        <w:footnoteReference w:id="7"/>
      </w:r>
      <w:r>
        <w:t xml:space="preserve"> all other documents not previously filed in this matter are ordered sealed pursuant to 5.12 (former rule 23) of the Rules of Procedure.</w:t>
      </w:r>
    </w:p>
    <w:p>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t>
      </w:r>
    </w:p>
    <w:p>
      <w:r>
        <w:t xml:space="preserve">/ / / </w:t>
      </w:r>
    </w:p>
    <w:p/>
    <w:p>
      <w:r>
        <w:t>/ / /</w:t>
      </w:r>
    </w:p>
    <w:p/>
    <w:p>
      <w:r>
        <w:t>/ / /</w:t>
      </w:r>
    </w:p>
    <w:p/>
    <w:p>
      <w:r>
        <w:t>/ / /</w:t>
      </w:r>
    </w:p>
    <w:p/>
    <w:p>
      <w:pPr>
        <w:pStyle w:val="Header"/>
        <w:tabs>
          <w:tab w:val="clear" w:pos="4320"/>
          <w:tab w:val="clear" w:pos="8640"/>
          <w:tab w:val="left" w:pos="0"/>
          <w:tab w:val="left" w:pos="720"/>
          <w:tab w:val="left" w:pos="810"/>
        </w:tabs>
        <w:spacing w:line="480" w:lineRule="auto"/>
      </w:pPr>
      <w:r>
        <w:t xml:space="preserve">whom protected material is disclosed will be given a copy of this order sealing the documents by the person making the disclosure.  </w:t>
      </w:r>
    </w:p>
    <w:p>
      <w:pPr>
        <w:spacing w:line="480" w:lineRule="auto"/>
        <w:rPr>
          <w:b/>
        </w:rPr>
      </w:pPr>
      <w:r>
        <w:tab/>
      </w:r>
      <w:r>
        <w:rPr>
          <w:b/>
        </w:rPr>
        <w:t>IT IS SO ORDERED.</w:t>
      </w:r>
    </w:p>
    <w:p>
      <w:pPr>
        <w:spacing w:line="480" w:lineRule="auto"/>
      </w:pP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June 14, 2011</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  </w:t>
      </w:r>
    </w:p>
  </w:footnote>
  <w:footnote w:id="2">
    <w:p>
      <w:pPr>
        <w:pStyle w:val="FootnoteText"/>
      </w:pPr>
      <w:r>
        <w:rPr>
          <w:rStyle w:val="FootnoteReference"/>
        </w:rPr>
        <w:footnoteRef/>
      </w:r>
      <w:r>
        <w:t xml:space="preserve"> The Confidential Statement and Contract were lodged on July 29, 2008.</w:t>
      </w:r>
    </w:p>
  </w:footnote>
  <w:footnote w:id="3">
    <w:p>
      <w:pPr>
        <w:pStyle w:val="FootnoteText"/>
      </w:pPr>
      <w:r>
        <w:rPr>
          <w:rStyle w:val="FootnoteReference"/>
        </w:rPr>
        <w:footnoteRef/>
      </w:r>
      <w:r>
        <w:t xml:space="preserve"> On August 4, 2008, the court filed an order finding that respondent is accepted into the ADP, and the start date of respondent’s participation in the ADP is July 29, 2008. </w:t>
      </w:r>
    </w:p>
  </w:footnote>
  <w:footnote w:id="4">
    <w:p>
      <w:pPr>
        <w:pStyle w:val="FootnoteText"/>
      </w:pPr>
      <w:r>
        <w:rPr>
          <w:rStyle w:val="FootnoteReference"/>
        </w:rPr>
        <w:footnoteRef/>
      </w:r>
      <w:r>
        <w:t xml:space="preserve"> The court’s order finding that respondent has successfully completed the ADP was filed on March 24, 2011. </w:t>
      </w:r>
    </w:p>
  </w:footnote>
  <w:footnote w:id="5">
    <w:p>
      <w:pPr>
        <w:pStyle w:val="FootnoteText"/>
      </w:pPr>
      <w:r>
        <w:rPr>
          <w:rStyle w:val="FootnoteReference"/>
        </w:rPr>
        <w:footnoteRef/>
      </w:r>
      <w:r>
        <w:t xml:space="preserve"> All further references to standards (Std.) are to the Rules of Procedure of the State Bar, title IV, Standards for Attorney Sanctions for Professional Misconduct. </w:t>
      </w:r>
    </w:p>
  </w:footnote>
  <w:footnote w:id="6">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7">
    <w:p>
      <w:pPr>
        <w:pStyle w:val="FootnoteText"/>
      </w:pPr>
      <w:r>
        <w:rPr>
          <w:rStyle w:val="FootnoteReference"/>
        </w:rPr>
        <w:footnoteRef/>
      </w:r>
      <w:r>
        <w:t xml:space="preserve"> Effective January 1, 2011, new Rules of Procedure of the State Bar of California became effective.  </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BlknToPFoHiIEpDv2y4yUe6nWk0=" w:salt="sirCzXiCbS40WxI61y1iIw=="/>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2032</Words>
  <Characters>10816</Characters>
  <Application>Microsoft Office Word</Application>
  <DocSecurity>0</DocSecurity>
  <Lines>230</Lines>
  <Paragraphs>94</Paragraphs>
  <ScaleCrop>false</ScaleCrop>
  <Manager/>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2011-07-02T00:04:00Z</dcterms:created>
  <dcterms:modified xsi:type="dcterms:W3CDTF">2011-07-02T00:04:00Z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