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710" w:rsidRDefault="009E2710" w:rsidP="003232E7">
      <w:pPr>
        <w:spacing w:line="235" w:lineRule="exact"/>
        <w:rPr>
          <w:b/>
          <w:bCs/>
        </w:rPr>
      </w:pPr>
      <w:bookmarkStart w:id="0" w:name="designation"/>
      <w:bookmarkEnd w:id="0"/>
      <w:r>
        <w:rPr>
          <w:b/>
          <w:bCs/>
          <w:lang w:val="en-CA"/>
        </w:rPr>
        <w:t>PUBLIC MATTER – NOT DESIGNATED FOR PUBLICATION</w:t>
      </w:r>
      <w:r w:rsidR="00965BE6">
        <w:rPr>
          <w:b/>
          <w:bCs/>
          <w:lang w:val="en-CA"/>
        </w:rPr>
        <w:fldChar w:fldCharType="begin"/>
      </w:r>
      <w:r>
        <w:rPr>
          <w:b/>
          <w:bCs/>
          <w:lang w:val="en-CA"/>
        </w:rPr>
        <w:instrText xml:space="preserve"> SEQ CHAPTER \h \r 1</w:instrText>
      </w:r>
      <w:r w:rsidR="00965BE6">
        <w:rPr>
          <w:b/>
          <w:bCs/>
          <w:lang w:val="en-CA"/>
        </w:rPr>
        <w:fldChar w:fldCharType="end"/>
      </w:r>
    </w:p>
    <w:p w:rsidR="009E2710" w:rsidRDefault="009E2710" w:rsidP="003232E7">
      <w:pPr>
        <w:spacing w:line="235" w:lineRule="exact"/>
        <w:rPr>
          <w:b/>
          <w:bCs/>
        </w:rPr>
      </w:pPr>
    </w:p>
    <w:p w:rsidR="009E2710" w:rsidRDefault="009E2710" w:rsidP="003232E7">
      <w:pPr>
        <w:spacing w:line="235" w:lineRule="exact"/>
        <w:rPr>
          <w:b/>
          <w:bCs/>
        </w:rPr>
      </w:pPr>
    </w:p>
    <w:p w:rsidR="009E2710" w:rsidRPr="00853659" w:rsidRDefault="00853659" w:rsidP="003232E7">
      <w:pPr>
        <w:spacing w:line="235" w:lineRule="exact"/>
        <w:rPr>
          <w:b/>
          <w:bCs/>
          <w:sz w:val="28"/>
          <w:szCs w:val="28"/>
        </w:rPr>
      </w:pPr>
      <w:r>
        <w:rPr>
          <w:b/>
          <w:bCs/>
        </w:rPr>
        <w:t xml:space="preserve">                                                                                            </w:t>
      </w:r>
      <w:r>
        <w:rPr>
          <w:b/>
          <w:bCs/>
          <w:sz w:val="28"/>
          <w:szCs w:val="28"/>
        </w:rPr>
        <w:t>Filed July 16, 2009</w:t>
      </w:r>
    </w:p>
    <w:p w:rsidR="009E2710" w:rsidRDefault="009E2710" w:rsidP="003232E7">
      <w:pPr>
        <w:spacing w:line="235" w:lineRule="exact"/>
        <w:rPr>
          <w:b/>
          <w:bCs/>
        </w:rPr>
      </w:pPr>
    </w:p>
    <w:p w:rsidR="00EF364C" w:rsidRDefault="00EF364C" w:rsidP="003232E7">
      <w:pPr>
        <w:spacing w:line="235" w:lineRule="exact"/>
        <w:rPr>
          <w:b/>
          <w:bCs/>
        </w:rPr>
      </w:pPr>
    </w:p>
    <w:p w:rsidR="009E2710" w:rsidRDefault="009E2710" w:rsidP="003232E7">
      <w:pPr>
        <w:spacing w:line="235" w:lineRule="exact"/>
        <w:rPr>
          <w:b/>
          <w:bCs/>
        </w:rPr>
      </w:pPr>
    </w:p>
    <w:p w:rsidR="009E2710" w:rsidRDefault="009E2710" w:rsidP="003232E7">
      <w:pPr>
        <w:spacing w:line="235" w:lineRule="exact"/>
        <w:rPr>
          <w:b/>
          <w:bCs/>
        </w:rPr>
      </w:pPr>
    </w:p>
    <w:p w:rsidR="009E2710" w:rsidRDefault="009E2710" w:rsidP="003232E7">
      <w:pPr>
        <w:spacing w:line="235" w:lineRule="exact"/>
        <w:jc w:val="center"/>
        <w:rPr>
          <w:b/>
          <w:bCs/>
        </w:rPr>
      </w:pPr>
      <w:r>
        <w:rPr>
          <w:b/>
          <w:bCs/>
        </w:rPr>
        <w:t xml:space="preserve">REVIEW DEPARTMENT OF THE </w:t>
      </w:r>
      <w:smartTag w:uri="urn:schemas-microsoft-com:office:smarttags" w:element="address">
        <w:smartTag w:uri="urn:schemas-microsoft-com:office:smarttags" w:element="Street">
          <w:r>
            <w:rPr>
              <w:b/>
              <w:bCs/>
            </w:rPr>
            <w:t>STATE BAR COURT</w:t>
          </w:r>
        </w:smartTag>
      </w:smartTag>
    </w:p>
    <w:p w:rsidR="009E2710" w:rsidRDefault="009E2710" w:rsidP="003232E7">
      <w:pPr>
        <w:spacing w:line="235" w:lineRule="exact"/>
      </w:pPr>
    </w:p>
    <w:p w:rsidR="009E2710" w:rsidRDefault="009E2710" w:rsidP="003232E7">
      <w:pPr>
        <w:spacing w:line="235" w:lineRule="exact"/>
      </w:pPr>
    </w:p>
    <w:tbl>
      <w:tblPr>
        <w:tblW w:w="9360" w:type="dxa"/>
        <w:tblInd w:w="8" w:type="dxa"/>
        <w:tblLayout w:type="fixed"/>
        <w:tblCellMar>
          <w:left w:w="0" w:type="dxa"/>
          <w:right w:w="0" w:type="dxa"/>
        </w:tblCellMar>
        <w:tblLook w:val="0000"/>
      </w:tblPr>
      <w:tblGrid>
        <w:gridCol w:w="4320"/>
        <w:gridCol w:w="1072"/>
        <w:gridCol w:w="3968"/>
      </w:tblGrid>
      <w:tr w:rsidR="009E2710" w:rsidRPr="0016674A" w:rsidTr="00BD32DD">
        <w:trPr>
          <w:cantSplit/>
          <w:trHeight w:val="535"/>
        </w:trPr>
        <w:tc>
          <w:tcPr>
            <w:tcW w:w="4320" w:type="dxa"/>
            <w:vMerge w:val="restart"/>
            <w:tcBorders>
              <w:bottom w:val="single" w:sz="6" w:space="0" w:color="000000"/>
            </w:tcBorders>
          </w:tcPr>
          <w:p w:rsidR="009E2710" w:rsidRPr="0016674A" w:rsidRDefault="009E2710" w:rsidP="008A4492">
            <w:pPr>
              <w:spacing w:before="30"/>
            </w:pPr>
            <w:r w:rsidRPr="0016674A">
              <w:t>In the Matter of</w:t>
            </w:r>
          </w:p>
          <w:p w:rsidR="009E2710" w:rsidRPr="0016674A" w:rsidRDefault="009E2710" w:rsidP="008A4492"/>
          <w:p w:rsidR="009E2710" w:rsidRPr="0016674A" w:rsidRDefault="009E2710" w:rsidP="008A4492">
            <w:pPr>
              <w:rPr>
                <w:b/>
              </w:rPr>
            </w:pPr>
            <w:bookmarkStart w:id="1" w:name="respondent"/>
            <w:bookmarkEnd w:id="1"/>
            <w:r w:rsidRPr="0016674A">
              <w:rPr>
                <w:b/>
              </w:rPr>
              <w:t>MICHAEL S. CANTARUTTI</w:t>
            </w:r>
          </w:p>
          <w:p w:rsidR="009E2710" w:rsidRPr="0016674A" w:rsidRDefault="009E2710" w:rsidP="008A4492"/>
          <w:p w:rsidR="009E2710" w:rsidRPr="0016674A" w:rsidRDefault="009E2710" w:rsidP="008A4492">
            <w:bookmarkStart w:id="2" w:name="type"/>
            <w:bookmarkEnd w:id="2"/>
            <w:r w:rsidRPr="0016674A">
              <w:t>A Member of the State Bar.</w:t>
            </w:r>
          </w:p>
        </w:tc>
        <w:tc>
          <w:tcPr>
            <w:tcW w:w="1072" w:type="dxa"/>
            <w:vMerge w:val="restart"/>
          </w:tcPr>
          <w:p w:rsidR="009E2710" w:rsidRPr="0016674A" w:rsidRDefault="009E2710" w:rsidP="008A4492">
            <w:pPr>
              <w:spacing w:before="30" w:line="235" w:lineRule="exact"/>
            </w:pPr>
            <w:r w:rsidRPr="0016674A">
              <w:t>)</w:t>
            </w:r>
          </w:p>
          <w:p w:rsidR="009E2710" w:rsidRPr="0016674A" w:rsidRDefault="009E2710" w:rsidP="008A4492">
            <w:pPr>
              <w:spacing w:line="235" w:lineRule="exact"/>
            </w:pPr>
            <w:r w:rsidRPr="0016674A">
              <w:t>)</w:t>
            </w:r>
          </w:p>
          <w:p w:rsidR="009E2710" w:rsidRPr="0016674A" w:rsidRDefault="009E2710" w:rsidP="008A4492">
            <w:pPr>
              <w:spacing w:line="235" w:lineRule="exact"/>
            </w:pPr>
            <w:r w:rsidRPr="0016674A">
              <w:t>)</w:t>
            </w:r>
          </w:p>
          <w:p w:rsidR="009E2710" w:rsidRPr="0016674A" w:rsidRDefault="009E2710" w:rsidP="008A4492">
            <w:pPr>
              <w:spacing w:line="235" w:lineRule="exact"/>
            </w:pPr>
            <w:r w:rsidRPr="0016674A">
              <w:t>)</w:t>
            </w:r>
          </w:p>
          <w:p w:rsidR="009E2710" w:rsidRPr="0016674A" w:rsidRDefault="009E2710" w:rsidP="008A4492">
            <w:pPr>
              <w:spacing w:line="235" w:lineRule="exact"/>
            </w:pPr>
            <w:r w:rsidRPr="0016674A">
              <w:t>)</w:t>
            </w:r>
          </w:p>
          <w:p w:rsidR="009E2710" w:rsidRPr="0016674A" w:rsidRDefault="009E2710" w:rsidP="008A4492">
            <w:pPr>
              <w:spacing w:line="235" w:lineRule="exact"/>
            </w:pPr>
            <w:r w:rsidRPr="0016674A">
              <w:t>)</w:t>
            </w:r>
          </w:p>
          <w:p w:rsidR="009E2710" w:rsidRPr="0016674A" w:rsidRDefault="009E2710" w:rsidP="008A4492">
            <w:pPr>
              <w:spacing w:line="235" w:lineRule="exact"/>
            </w:pPr>
            <w:r w:rsidRPr="0016674A">
              <w:t>)</w:t>
            </w:r>
          </w:p>
        </w:tc>
        <w:tc>
          <w:tcPr>
            <w:tcW w:w="3968" w:type="dxa"/>
            <w:vMerge w:val="restart"/>
          </w:tcPr>
          <w:p w:rsidR="009E2710" w:rsidRPr="0016674A" w:rsidRDefault="009E2710" w:rsidP="003232E7">
            <w:pPr>
              <w:spacing w:before="30"/>
              <w:rPr>
                <w:b/>
              </w:rPr>
            </w:pPr>
            <w:bookmarkStart w:id="3" w:name="caseno"/>
            <w:bookmarkEnd w:id="3"/>
            <w:r w:rsidRPr="0016674A">
              <w:rPr>
                <w:b/>
              </w:rPr>
              <w:t xml:space="preserve">No. 07-O-11999  </w:t>
            </w:r>
          </w:p>
        </w:tc>
      </w:tr>
      <w:tr w:rsidR="009E2710" w:rsidRPr="0016674A" w:rsidTr="00BD32DD">
        <w:trPr>
          <w:cantSplit/>
          <w:trHeight w:val="270"/>
        </w:trPr>
        <w:tc>
          <w:tcPr>
            <w:tcW w:w="4320" w:type="dxa"/>
            <w:vMerge/>
            <w:tcBorders>
              <w:bottom w:val="single" w:sz="6" w:space="0" w:color="000000"/>
            </w:tcBorders>
          </w:tcPr>
          <w:p w:rsidR="009E2710" w:rsidRPr="0016674A" w:rsidRDefault="009E2710" w:rsidP="008A4492">
            <w:pPr>
              <w:spacing w:before="30" w:line="235" w:lineRule="exact"/>
            </w:pPr>
          </w:p>
        </w:tc>
        <w:tc>
          <w:tcPr>
            <w:tcW w:w="1072" w:type="dxa"/>
            <w:vMerge/>
          </w:tcPr>
          <w:p w:rsidR="009E2710" w:rsidRPr="0016674A" w:rsidRDefault="009E2710" w:rsidP="008A4492">
            <w:pPr>
              <w:spacing w:before="30" w:line="235" w:lineRule="exact"/>
            </w:pPr>
          </w:p>
        </w:tc>
        <w:tc>
          <w:tcPr>
            <w:tcW w:w="3968" w:type="dxa"/>
            <w:vMerge/>
          </w:tcPr>
          <w:p w:rsidR="009E2710" w:rsidRPr="0016674A" w:rsidRDefault="009E2710" w:rsidP="008A4492">
            <w:pPr>
              <w:spacing w:before="30"/>
            </w:pPr>
          </w:p>
        </w:tc>
      </w:tr>
      <w:tr w:rsidR="009E2710" w:rsidRPr="0016674A" w:rsidTr="00BD32DD">
        <w:trPr>
          <w:cantSplit/>
          <w:trHeight w:val="720"/>
        </w:trPr>
        <w:tc>
          <w:tcPr>
            <w:tcW w:w="4320" w:type="dxa"/>
            <w:vMerge/>
            <w:tcBorders>
              <w:bottom w:val="single" w:sz="6" w:space="0" w:color="000000"/>
            </w:tcBorders>
          </w:tcPr>
          <w:p w:rsidR="009E2710" w:rsidRPr="0016674A" w:rsidRDefault="009E2710" w:rsidP="008A4492">
            <w:pPr>
              <w:spacing w:before="30" w:line="235" w:lineRule="exact"/>
            </w:pPr>
          </w:p>
        </w:tc>
        <w:tc>
          <w:tcPr>
            <w:tcW w:w="1072" w:type="dxa"/>
            <w:vMerge/>
          </w:tcPr>
          <w:p w:rsidR="009E2710" w:rsidRPr="0016674A" w:rsidRDefault="009E2710" w:rsidP="008A4492">
            <w:pPr>
              <w:spacing w:before="30" w:line="235" w:lineRule="exact"/>
            </w:pPr>
          </w:p>
        </w:tc>
        <w:tc>
          <w:tcPr>
            <w:tcW w:w="3968" w:type="dxa"/>
          </w:tcPr>
          <w:p w:rsidR="009E2710" w:rsidRDefault="009E2710" w:rsidP="008A4492">
            <w:pPr>
              <w:pStyle w:val="Heading1"/>
              <w:spacing w:line="240" w:lineRule="auto"/>
              <w:jc w:val="left"/>
            </w:pPr>
            <w:r>
              <w:t>OPINION ON REVIEW</w:t>
            </w:r>
          </w:p>
          <w:p w:rsidR="009E2710" w:rsidRDefault="009E2710" w:rsidP="00A7244A">
            <w:pPr>
              <w:pStyle w:val="Heading1"/>
              <w:spacing w:line="240" w:lineRule="auto"/>
              <w:jc w:val="left"/>
            </w:pPr>
          </w:p>
        </w:tc>
      </w:tr>
    </w:tbl>
    <w:p w:rsidR="00BD32DD" w:rsidRDefault="00BD32DD" w:rsidP="00BC33C9">
      <w:pPr>
        <w:tabs>
          <w:tab w:val="center" w:pos="4680"/>
        </w:tabs>
        <w:spacing w:line="480" w:lineRule="auto"/>
        <w:jc w:val="center"/>
        <w:rPr>
          <w:b/>
          <w:bCs/>
        </w:rPr>
      </w:pPr>
    </w:p>
    <w:p w:rsidR="009E2710" w:rsidRPr="00726142" w:rsidRDefault="009E2710" w:rsidP="00BC33C9">
      <w:pPr>
        <w:tabs>
          <w:tab w:val="center" w:pos="4680"/>
        </w:tabs>
        <w:spacing w:line="480" w:lineRule="auto"/>
        <w:jc w:val="center"/>
        <w:rPr>
          <w:b/>
          <w:bCs/>
        </w:rPr>
      </w:pPr>
      <w:r>
        <w:rPr>
          <w:b/>
          <w:bCs/>
        </w:rPr>
        <w:t>I.  SUMMARY</w:t>
      </w:r>
    </w:p>
    <w:p w:rsidR="009E2710" w:rsidRDefault="009E2710" w:rsidP="00215832">
      <w:pPr>
        <w:tabs>
          <w:tab w:val="center" w:pos="4680"/>
        </w:tabs>
        <w:spacing w:line="480" w:lineRule="auto"/>
        <w:ind w:firstLine="720"/>
        <w:rPr>
          <w:bCs/>
        </w:rPr>
      </w:pPr>
      <w:r>
        <w:rPr>
          <w:bCs/>
        </w:rPr>
        <w:t>This case involves unauthorized attorney contact with a represented party.  The State Bar Office of Chief Trial Counsel (State Bar) has charged that Michael S. Cantarutti violated the Rules of Professional Conduct</w:t>
      </w:r>
      <w:r w:rsidRPr="00EF6404">
        <w:rPr>
          <w:rStyle w:val="FootnoteReference"/>
          <w:bCs/>
          <w:vertAlign w:val="superscript"/>
        </w:rPr>
        <w:footnoteReference w:id="1"/>
      </w:r>
      <w:r>
        <w:rPr>
          <w:bCs/>
          <w:vertAlign w:val="superscript"/>
        </w:rPr>
        <w:t xml:space="preserve">  </w:t>
      </w:r>
      <w:r>
        <w:rPr>
          <w:bCs/>
        </w:rPr>
        <w:t>by personally serving a deposition notice</w:t>
      </w:r>
      <w:r w:rsidR="00E92E9D">
        <w:rPr>
          <w:bCs/>
        </w:rPr>
        <w:t xml:space="preserve"> </w:t>
      </w:r>
      <w:r>
        <w:rPr>
          <w:bCs/>
        </w:rPr>
        <w:t xml:space="preserve">on a represented party and then asking questions of that party.  The hearing judge found </w:t>
      </w:r>
      <w:r w:rsidR="00E92E9D">
        <w:rPr>
          <w:bCs/>
        </w:rPr>
        <w:t>Cantarutti</w:t>
      </w:r>
      <w:r>
        <w:rPr>
          <w:bCs/>
        </w:rPr>
        <w:t xml:space="preserve"> culpable </w:t>
      </w:r>
      <w:r w:rsidR="00E86909">
        <w:rPr>
          <w:bCs/>
        </w:rPr>
        <w:t>o</w:t>
      </w:r>
      <w:r>
        <w:rPr>
          <w:bCs/>
        </w:rPr>
        <w:t xml:space="preserve">f making unauthorized contact by serving the </w:t>
      </w:r>
      <w:r w:rsidR="00B4713C">
        <w:rPr>
          <w:bCs/>
        </w:rPr>
        <w:t xml:space="preserve">deposition </w:t>
      </w:r>
      <w:r>
        <w:rPr>
          <w:bCs/>
        </w:rPr>
        <w:t>notice, but concluded he did not ask any questions</w:t>
      </w:r>
      <w:r w:rsidR="009E19E2">
        <w:rPr>
          <w:bCs/>
        </w:rPr>
        <w:t xml:space="preserve"> while serving the notice</w:t>
      </w:r>
      <w:r>
        <w:rPr>
          <w:bCs/>
        </w:rPr>
        <w:t xml:space="preserve">.  Based on </w:t>
      </w:r>
      <w:r w:rsidR="00E92E9D">
        <w:rPr>
          <w:bCs/>
        </w:rPr>
        <w:t>Cantarutti</w:t>
      </w:r>
      <w:r>
        <w:rPr>
          <w:bCs/>
        </w:rPr>
        <w:t xml:space="preserve">’s </w:t>
      </w:r>
      <w:r w:rsidR="00E92E9D">
        <w:rPr>
          <w:bCs/>
        </w:rPr>
        <w:t xml:space="preserve">two prior discipline records, </w:t>
      </w:r>
      <w:r>
        <w:rPr>
          <w:bCs/>
        </w:rPr>
        <w:t xml:space="preserve">the hearing judge recommended that </w:t>
      </w:r>
      <w:r w:rsidR="00E92E9D">
        <w:rPr>
          <w:bCs/>
        </w:rPr>
        <w:t>he</w:t>
      </w:r>
      <w:r>
        <w:rPr>
          <w:bCs/>
        </w:rPr>
        <w:t xml:space="preserve"> be suspended from the practice of law for three years, stayed, and placed on probation </w:t>
      </w:r>
      <w:r w:rsidR="00E92E9D">
        <w:rPr>
          <w:bCs/>
        </w:rPr>
        <w:t xml:space="preserve">with an </w:t>
      </w:r>
      <w:r w:rsidR="00C80907">
        <w:rPr>
          <w:bCs/>
        </w:rPr>
        <w:t>18</w:t>
      </w:r>
      <w:r w:rsidR="00E92E9D">
        <w:rPr>
          <w:bCs/>
        </w:rPr>
        <w:t>-month</w:t>
      </w:r>
      <w:r w:rsidR="005B072E">
        <w:rPr>
          <w:bCs/>
        </w:rPr>
        <w:t xml:space="preserve"> actual</w:t>
      </w:r>
      <w:r>
        <w:rPr>
          <w:bCs/>
        </w:rPr>
        <w:t xml:space="preserve"> suspension.    </w:t>
      </w:r>
    </w:p>
    <w:p w:rsidR="009E2710" w:rsidRDefault="00E92E9D" w:rsidP="005E1475">
      <w:pPr>
        <w:tabs>
          <w:tab w:val="center" w:pos="4680"/>
        </w:tabs>
        <w:spacing w:line="480" w:lineRule="auto"/>
        <w:ind w:firstLine="720"/>
        <w:rPr>
          <w:bCs/>
        </w:rPr>
      </w:pPr>
      <w:r>
        <w:rPr>
          <w:bCs/>
        </w:rPr>
        <w:t>Cantarutti</w:t>
      </w:r>
      <w:r w:rsidR="009E2710">
        <w:rPr>
          <w:bCs/>
        </w:rPr>
        <w:t xml:space="preserve"> seeks review</w:t>
      </w:r>
      <w:r w:rsidR="009E19E2">
        <w:rPr>
          <w:bCs/>
        </w:rPr>
        <w:t>,</w:t>
      </w:r>
      <w:r w:rsidR="009E2710">
        <w:rPr>
          <w:bCs/>
        </w:rPr>
        <w:t xml:space="preserve"> contending that he is not culpable of misconduct because he was authorized by law to serve the</w:t>
      </w:r>
      <w:r w:rsidR="00B4713C">
        <w:rPr>
          <w:bCs/>
        </w:rPr>
        <w:t xml:space="preserve"> deposition</w:t>
      </w:r>
      <w:r w:rsidR="009E2710">
        <w:rPr>
          <w:bCs/>
        </w:rPr>
        <w:t xml:space="preserve"> notice</w:t>
      </w:r>
      <w:r w:rsidR="00B4713C">
        <w:rPr>
          <w:bCs/>
        </w:rPr>
        <w:t xml:space="preserve"> and </w:t>
      </w:r>
      <w:r w:rsidR="005B072E">
        <w:rPr>
          <w:bCs/>
        </w:rPr>
        <w:t xml:space="preserve">he </w:t>
      </w:r>
      <w:r w:rsidR="00B4713C">
        <w:rPr>
          <w:bCs/>
        </w:rPr>
        <w:t>did not ask question</w:t>
      </w:r>
      <w:r w:rsidR="00D215CA">
        <w:rPr>
          <w:bCs/>
        </w:rPr>
        <w:t>s</w:t>
      </w:r>
      <w:r w:rsidR="00B4713C">
        <w:rPr>
          <w:bCs/>
        </w:rPr>
        <w:t xml:space="preserve"> of the</w:t>
      </w:r>
      <w:r w:rsidR="002059C0">
        <w:rPr>
          <w:bCs/>
        </w:rPr>
        <w:t xml:space="preserve"> repr</w:t>
      </w:r>
      <w:r w:rsidR="00C80907">
        <w:rPr>
          <w:bCs/>
        </w:rPr>
        <w:t>e</w:t>
      </w:r>
      <w:r w:rsidR="002059C0">
        <w:rPr>
          <w:bCs/>
        </w:rPr>
        <w:t>sented</w:t>
      </w:r>
      <w:r w:rsidR="00B4713C">
        <w:rPr>
          <w:bCs/>
        </w:rPr>
        <w:t xml:space="preserve"> party</w:t>
      </w:r>
      <w:r w:rsidR="009E2710">
        <w:rPr>
          <w:bCs/>
        </w:rPr>
        <w:t xml:space="preserve">.  He asserts that any culpability found </w:t>
      </w:r>
      <w:r w:rsidR="009E19E2">
        <w:rPr>
          <w:bCs/>
        </w:rPr>
        <w:t xml:space="preserve">by this court </w:t>
      </w:r>
      <w:r w:rsidR="009E2710">
        <w:rPr>
          <w:bCs/>
        </w:rPr>
        <w:t xml:space="preserve">warrants no more than a private or public reprimand.  The State Bar requests that we adopt the </w:t>
      </w:r>
      <w:r w:rsidR="00EF364C">
        <w:rPr>
          <w:bCs/>
        </w:rPr>
        <w:t xml:space="preserve">recommended discipline if we conclude, as the </w:t>
      </w:r>
      <w:r w:rsidR="009E2710">
        <w:rPr>
          <w:bCs/>
        </w:rPr>
        <w:t>hearing judge</w:t>
      </w:r>
      <w:r w:rsidR="00EF364C">
        <w:rPr>
          <w:bCs/>
        </w:rPr>
        <w:t xml:space="preserve"> did, that Cantarutti is culpable only for serving the deposition </w:t>
      </w:r>
      <w:r w:rsidR="00EF364C">
        <w:rPr>
          <w:bCs/>
        </w:rPr>
        <w:lastRenderedPageBreak/>
        <w:t xml:space="preserve">notice.  </w:t>
      </w:r>
      <w:r w:rsidR="009E2710">
        <w:rPr>
          <w:bCs/>
        </w:rPr>
        <w:t xml:space="preserve">However, if we find that </w:t>
      </w:r>
      <w:r>
        <w:rPr>
          <w:bCs/>
        </w:rPr>
        <w:t>Cantarutti</w:t>
      </w:r>
      <w:r w:rsidR="009E2710">
        <w:rPr>
          <w:bCs/>
        </w:rPr>
        <w:t xml:space="preserve"> also questioned the represented party, the State Bar urges disbarment.  </w:t>
      </w:r>
    </w:p>
    <w:p w:rsidR="009E2710" w:rsidRDefault="009E2710" w:rsidP="005E1475">
      <w:pPr>
        <w:tabs>
          <w:tab w:val="center" w:pos="4680"/>
        </w:tabs>
        <w:spacing w:line="480" w:lineRule="auto"/>
        <w:ind w:firstLine="720"/>
        <w:rPr>
          <w:bCs/>
        </w:rPr>
      </w:pPr>
      <w:r>
        <w:rPr>
          <w:bCs/>
        </w:rPr>
        <w:tab/>
        <w:t>We have independently reviewed the record</w:t>
      </w:r>
      <w:r w:rsidR="00432177" w:rsidRPr="00FD4FCD">
        <w:rPr>
          <w:rStyle w:val="FootnoteReference"/>
          <w:bCs/>
          <w:vertAlign w:val="superscript"/>
        </w:rPr>
        <w:footnoteReference w:id="2"/>
      </w:r>
      <w:r w:rsidR="00EF364C" w:rsidRPr="00FD4FCD">
        <w:rPr>
          <w:bCs/>
          <w:vertAlign w:val="superscript"/>
        </w:rPr>
        <w:t xml:space="preserve"> </w:t>
      </w:r>
      <w:r>
        <w:t>and adopt the hearing judge’s findings</w:t>
      </w:r>
      <w:r w:rsidR="00C71CB8">
        <w:t xml:space="preserve">, except that </w:t>
      </w:r>
      <w:r w:rsidR="00EF364C">
        <w:t xml:space="preserve">we do not find </w:t>
      </w:r>
      <w:r w:rsidR="00B4713C">
        <w:t>lack of harm</w:t>
      </w:r>
      <w:r w:rsidR="008273AE">
        <w:t xml:space="preserve"> </w:t>
      </w:r>
      <w:r w:rsidR="00EF364C">
        <w:t xml:space="preserve">or good faith as </w:t>
      </w:r>
      <w:r w:rsidR="008273AE">
        <w:t>factor</w:t>
      </w:r>
      <w:r w:rsidR="00EF364C">
        <w:t>s</w:t>
      </w:r>
      <w:r w:rsidR="008273AE">
        <w:t xml:space="preserve"> </w:t>
      </w:r>
      <w:r w:rsidR="00003EEF">
        <w:t>in mitigation</w:t>
      </w:r>
      <w:r w:rsidR="00C71CB8">
        <w:t>.  W</w:t>
      </w:r>
      <w:r w:rsidR="00FD4FCD">
        <w:t>e</w:t>
      </w:r>
      <w:r w:rsidR="00E92E9D">
        <w:t xml:space="preserve"> </w:t>
      </w:r>
      <w:r w:rsidR="00003EEF">
        <w:t xml:space="preserve">agree with and </w:t>
      </w:r>
      <w:r w:rsidR="00E92E9D">
        <w:t xml:space="preserve">affirm the hearing </w:t>
      </w:r>
      <w:r w:rsidR="00003EEF">
        <w:t>department’s recommended discipline</w:t>
      </w:r>
      <w:r w:rsidR="00E92E9D">
        <w:t>.</w:t>
      </w:r>
    </w:p>
    <w:p w:rsidR="009E2710" w:rsidRPr="00EB0518" w:rsidRDefault="009E2710" w:rsidP="00A473FF">
      <w:pPr>
        <w:spacing w:line="480" w:lineRule="auto"/>
        <w:jc w:val="center"/>
        <w:rPr>
          <w:b/>
        </w:rPr>
      </w:pPr>
      <w:r>
        <w:rPr>
          <w:b/>
        </w:rPr>
        <w:t>II</w:t>
      </w:r>
      <w:proofErr w:type="gramStart"/>
      <w:r>
        <w:rPr>
          <w:b/>
        </w:rPr>
        <w:t xml:space="preserve">.  </w:t>
      </w:r>
      <w:r w:rsidR="00C80907">
        <w:rPr>
          <w:b/>
        </w:rPr>
        <w:t>FINDINGS</w:t>
      </w:r>
      <w:proofErr w:type="gramEnd"/>
      <w:r w:rsidR="00C80907">
        <w:rPr>
          <w:b/>
        </w:rPr>
        <w:t xml:space="preserve"> OF FACT</w:t>
      </w:r>
      <w:r w:rsidR="00A473FF" w:rsidRPr="00934FB1">
        <w:rPr>
          <w:rStyle w:val="FootnoteReference"/>
          <w:b/>
          <w:vertAlign w:val="superscript"/>
        </w:rPr>
        <w:footnoteReference w:id="3"/>
      </w:r>
    </w:p>
    <w:p w:rsidR="009E2710" w:rsidRDefault="00E92E9D" w:rsidP="001D7EC0">
      <w:pPr>
        <w:spacing w:line="480" w:lineRule="auto"/>
        <w:ind w:firstLine="720"/>
      </w:pPr>
      <w:r>
        <w:t>Cantarutti</w:t>
      </w:r>
      <w:r w:rsidR="009E2710">
        <w:t xml:space="preserve"> was admitted to practice law in California </w:t>
      </w:r>
      <w:r>
        <w:t>in</w:t>
      </w:r>
      <w:r w:rsidR="009E2710">
        <w:t xml:space="preserve"> June</w:t>
      </w:r>
      <w:r w:rsidR="00C27D11">
        <w:t>,</w:t>
      </w:r>
      <w:r>
        <w:t xml:space="preserve"> </w:t>
      </w:r>
      <w:r w:rsidR="00C80907">
        <w:t xml:space="preserve">1992.  </w:t>
      </w:r>
      <w:r w:rsidR="009E2710">
        <w:t xml:space="preserve">He was </w:t>
      </w:r>
      <w:r>
        <w:t xml:space="preserve">previously </w:t>
      </w:r>
      <w:r w:rsidR="009E2710">
        <w:t xml:space="preserve">disciplined </w:t>
      </w:r>
      <w:r w:rsidR="00267476">
        <w:t>twice</w:t>
      </w:r>
      <w:r w:rsidR="009E19E2">
        <w:t>, as discussed in detail below</w:t>
      </w:r>
      <w:r w:rsidR="00267476">
        <w:t>.  In 1999</w:t>
      </w:r>
      <w:r w:rsidR="00FF20F0">
        <w:t>,</w:t>
      </w:r>
      <w:r w:rsidR="00267476">
        <w:t xml:space="preserve"> he served a </w:t>
      </w:r>
      <w:r>
        <w:t xml:space="preserve">six-month suspension </w:t>
      </w:r>
      <w:r w:rsidR="00267476">
        <w:t>and in 2003</w:t>
      </w:r>
      <w:r w:rsidR="00FF20F0">
        <w:t>,</w:t>
      </w:r>
      <w:r w:rsidR="00267476">
        <w:t xml:space="preserve"> he served a</w:t>
      </w:r>
      <w:r>
        <w:t xml:space="preserve"> one-year suspension</w:t>
      </w:r>
      <w:r w:rsidR="00267476">
        <w:t>.</w:t>
      </w:r>
      <w:r w:rsidR="009E2710">
        <w:t xml:space="preserve"> </w:t>
      </w:r>
      <w:r w:rsidR="00267476">
        <w:t xml:space="preserve"> The present charges involve Cantarutti’s actions while representing the husband in a marital dissolution case.</w:t>
      </w:r>
    </w:p>
    <w:p w:rsidR="009E2710" w:rsidRDefault="009E2710" w:rsidP="001D7EC0">
      <w:pPr>
        <w:spacing w:line="480" w:lineRule="auto"/>
        <w:ind w:firstLine="720"/>
      </w:pPr>
      <w:r>
        <w:t xml:space="preserve">Dawna Kissmann (Dawna) and </w:t>
      </w:r>
      <w:r w:rsidR="00267476">
        <w:t>Douglas Kissman</w:t>
      </w:r>
      <w:r w:rsidR="007514E1">
        <w:t>n</w:t>
      </w:r>
      <w:r w:rsidR="00267476">
        <w:t xml:space="preserve"> (</w:t>
      </w:r>
      <w:r>
        <w:t>Douglas</w:t>
      </w:r>
      <w:r w:rsidR="00D85276">
        <w:t>)</w:t>
      </w:r>
      <w:r w:rsidR="00003EEF">
        <w:t xml:space="preserve"> </w:t>
      </w:r>
      <w:r>
        <w:t xml:space="preserve">obtained a judgment for dissolution </w:t>
      </w:r>
      <w:r w:rsidR="00267476">
        <w:t xml:space="preserve">of their </w:t>
      </w:r>
      <w:r>
        <w:t>marriage.  Thereafter, Dawna became engaged t</w:t>
      </w:r>
      <w:r w:rsidR="009E19E2">
        <w:t>o Shawn Caulfield</w:t>
      </w:r>
      <w:r w:rsidR="00E92E9D">
        <w:t>.  Cau</w:t>
      </w:r>
      <w:r w:rsidR="00FF20F0">
        <w:t>l</w:t>
      </w:r>
      <w:r w:rsidR="00E92E9D">
        <w:t xml:space="preserve">field </w:t>
      </w:r>
      <w:r w:rsidR="00003EEF">
        <w:t xml:space="preserve">and Douglas met in early 2007, </w:t>
      </w:r>
      <w:r w:rsidR="005B072E">
        <w:t xml:space="preserve">and </w:t>
      </w:r>
      <w:r w:rsidR="00003EEF">
        <w:t>Cau</w:t>
      </w:r>
      <w:r w:rsidR="00FF20F0">
        <w:t>l</w:t>
      </w:r>
      <w:r w:rsidR="00003EEF">
        <w:t xml:space="preserve">field gave Douglas his telephone number. </w:t>
      </w:r>
      <w:r w:rsidR="00E92E9D">
        <w:t xml:space="preserve"> The two</w:t>
      </w:r>
      <w:r w:rsidRPr="00575700">
        <w:t xml:space="preserve"> saw each other o</w:t>
      </w:r>
      <w:r w:rsidR="006D4746">
        <w:t>ccasionally</w:t>
      </w:r>
      <w:r w:rsidRPr="00575700">
        <w:t xml:space="preserve">, had at least one </w:t>
      </w:r>
      <w:r w:rsidR="00003EEF">
        <w:t xml:space="preserve">lengthy </w:t>
      </w:r>
      <w:r w:rsidRPr="00575700">
        <w:t>telephone conversation and com</w:t>
      </w:r>
      <w:r>
        <w:t xml:space="preserve">municated via text messages.  </w:t>
      </w:r>
    </w:p>
    <w:p w:rsidR="009E2710" w:rsidRDefault="00267476" w:rsidP="00E92E9D">
      <w:pPr>
        <w:spacing w:line="480" w:lineRule="auto"/>
        <w:ind w:firstLine="720"/>
      </w:pPr>
      <w:r>
        <w:t>After the judgment of dissolution</w:t>
      </w:r>
      <w:r w:rsidR="00D85276">
        <w:t xml:space="preserve"> was entered</w:t>
      </w:r>
      <w:r>
        <w:t>, the</w:t>
      </w:r>
      <w:r w:rsidR="009E2710">
        <w:t xml:space="preserve"> parties hired attorneys to handle issues of child custody and visitation since Dawna was contemplating </w:t>
      </w:r>
      <w:r w:rsidR="00FF20F0">
        <w:t>relocation</w:t>
      </w:r>
      <w:r w:rsidR="009E2710">
        <w:t xml:space="preserve">.  </w:t>
      </w:r>
      <w:smartTag w:uri="urn:schemas-microsoft-com:office:smarttags" w:element="place">
        <w:r w:rsidR="009E2710">
          <w:t>Douglas</w:t>
        </w:r>
      </w:smartTag>
      <w:r w:rsidR="009E2710">
        <w:t xml:space="preserve"> hired </w:t>
      </w:r>
      <w:r w:rsidR="00E92E9D">
        <w:t>Cantarutti</w:t>
      </w:r>
      <w:r w:rsidR="009E2710">
        <w:t xml:space="preserve">.  During their initial meeting, </w:t>
      </w:r>
      <w:smartTag w:uri="urn:schemas-microsoft-com:office:smarttags" w:element="place">
        <w:r w:rsidR="009E2710">
          <w:t>Douglas</w:t>
        </w:r>
      </w:smartTag>
      <w:r w:rsidR="009E2710">
        <w:t xml:space="preserve"> gave Caulfield’s full name and phone number</w:t>
      </w:r>
      <w:r w:rsidR="00EF364C">
        <w:t xml:space="preserve"> to Cantarutti</w:t>
      </w:r>
      <w:r w:rsidR="009E2710">
        <w:t xml:space="preserve">.  Dawna hired Julianne Major, who filed a substitution of attorney that was served on </w:t>
      </w:r>
      <w:r w:rsidR="00E92E9D">
        <w:t>Cantarutti</w:t>
      </w:r>
      <w:r w:rsidR="009E2710">
        <w:t xml:space="preserve">.  </w:t>
      </w:r>
      <w:r w:rsidR="009E2710" w:rsidRPr="00DF3D80">
        <w:t xml:space="preserve">On May 8, 2007, </w:t>
      </w:r>
      <w:r w:rsidR="009E2710">
        <w:t>the</w:t>
      </w:r>
      <w:r w:rsidR="009E2710" w:rsidRPr="00DF3D80">
        <w:t xml:space="preserve"> parties and their </w:t>
      </w:r>
      <w:r w:rsidR="009E2710">
        <w:t>respective attorneys</w:t>
      </w:r>
      <w:r w:rsidR="009E2710" w:rsidRPr="00DF3D80">
        <w:t xml:space="preserve"> attended a </w:t>
      </w:r>
      <w:r w:rsidR="009E2710">
        <w:t xml:space="preserve">court </w:t>
      </w:r>
      <w:r w:rsidR="009E2710" w:rsidRPr="00DF3D80">
        <w:t>hearing</w:t>
      </w:r>
      <w:r w:rsidR="00D215CA">
        <w:t xml:space="preserve">.  There is no dispute that </w:t>
      </w:r>
      <w:r w:rsidR="001A1992">
        <w:t xml:space="preserve">Cantarutti knew </w:t>
      </w:r>
      <w:r w:rsidR="00FF20F0">
        <w:t xml:space="preserve">that </w:t>
      </w:r>
      <w:r w:rsidR="001A1992">
        <w:t xml:space="preserve">Major </w:t>
      </w:r>
      <w:r w:rsidR="002059C0">
        <w:t>r</w:t>
      </w:r>
      <w:r w:rsidR="001A1992">
        <w:t>epresented Dawna</w:t>
      </w:r>
      <w:r w:rsidR="009E2710" w:rsidRPr="00DF3D80">
        <w:t>.</w:t>
      </w:r>
      <w:r w:rsidR="009E2710">
        <w:t xml:space="preserve">  </w:t>
      </w:r>
      <w:r w:rsidR="00E92E9D">
        <w:t xml:space="preserve">Two </w:t>
      </w:r>
      <w:r w:rsidR="009E2710">
        <w:t xml:space="preserve">days </w:t>
      </w:r>
      <w:r w:rsidR="009E2710">
        <w:lastRenderedPageBreak/>
        <w:t>later</w:t>
      </w:r>
      <w:r w:rsidR="00D215CA">
        <w:t xml:space="preserve">, </w:t>
      </w:r>
      <w:r w:rsidR="002059C0">
        <w:t xml:space="preserve">without notifying Major, </w:t>
      </w:r>
      <w:r w:rsidR="00E92E9D">
        <w:t>Cantarutti</w:t>
      </w:r>
      <w:r w:rsidR="009E2710">
        <w:t xml:space="preserve"> went to Dawna’s place of employment </w:t>
      </w:r>
      <w:r w:rsidR="00E92E9D">
        <w:t>where she w</w:t>
      </w:r>
      <w:r w:rsidR="00EF364C">
        <w:t xml:space="preserve">orked </w:t>
      </w:r>
      <w:r w:rsidR="00FF20F0">
        <w:t>as</w:t>
      </w:r>
      <w:r w:rsidR="00E92E9D">
        <w:t xml:space="preserve"> a bookkeeper </w:t>
      </w:r>
      <w:r w:rsidR="009E2710">
        <w:t xml:space="preserve">and personally served her with </w:t>
      </w:r>
      <w:r w:rsidR="00003EEF">
        <w:t>a</w:t>
      </w:r>
      <w:r w:rsidR="009E2710">
        <w:t xml:space="preserve"> </w:t>
      </w:r>
      <w:r w:rsidR="00E92E9D">
        <w:t xml:space="preserve">deposition </w:t>
      </w:r>
      <w:r w:rsidR="009E2710">
        <w:t>notice</w:t>
      </w:r>
      <w:r w:rsidR="00D215CA">
        <w:t xml:space="preserve">.  </w:t>
      </w:r>
      <w:r w:rsidR="009E2710">
        <w:t xml:space="preserve">Dawna was at the front reception area when </w:t>
      </w:r>
      <w:r w:rsidR="00D85276">
        <w:t xml:space="preserve">Cantarutti </w:t>
      </w:r>
      <w:r w:rsidR="009E2710">
        <w:t>arrived, and a conversation between them ensued.  At this point, the evidence presented at trial differs greatly.</w:t>
      </w:r>
    </w:p>
    <w:p w:rsidR="009E2710" w:rsidRDefault="00E92E9D" w:rsidP="001D7EC0">
      <w:pPr>
        <w:spacing w:line="480" w:lineRule="auto"/>
        <w:ind w:firstLine="720"/>
      </w:pPr>
      <w:r>
        <w:t>Cantarutti</w:t>
      </w:r>
      <w:r w:rsidR="009E2710">
        <w:t xml:space="preserve"> testified as follows:  He went to Dawna’s place of employment to serve her with the </w:t>
      </w:r>
      <w:r w:rsidR="001A1992">
        <w:t xml:space="preserve">deposition </w:t>
      </w:r>
      <w:r w:rsidR="009E2710">
        <w:t xml:space="preserve">notice because “time was of the essence” and her workplace was near his office.  He approached Dawna and handed her the notice, stating, “This is for you.”  Dawna asked him what it was, and he told her that he could not talk about the case and she should discuss it with her attorney.  Dawna asked </w:t>
      </w:r>
      <w:r>
        <w:t>Cantarutti</w:t>
      </w:r>
      <w:r w:rsidR="009E2710">
        <w:t xml:space="preserve"> to wait for her to read the document, which he did, and then she asked, “What if this date doesn’t work?”  </w:t>
      </w:r>
      <w:r>
        <w:t>Cantarutti</w:t>
      </w:r>
      <w:r w:rsidR="009E2710">
        <w:t xml:space="preserve"> answered, “That’s something you’ll have to talk to your attorney about because again, I can’t talk to you about the case,” and left the office.  He estimated </w:t>
      </w:r>
      <w:r w:rsidR="00FF20F0">
        <w:t xml:space="preserve">that </w:t>
      </w:r>
      <w:r w:rsidR="009E2710">
        <w:t xml:space="preserve">this encounter lasted no more than 30 seconds.  </w:t>
      </w:r>
    </w:p>
    <w:p w:rsidR="001A1992" w:rsidRDefault="009E2710" w:rsidP="001D7EC0">
      <w:pPr>
        <w:spacing w:line="480" w:lineRule="auto"/>
        <w:ind w:firstLine="720"/>
      </w:pPr>
      <w:r>
        <w:t xml:space="preserve">Dawna testified as follows:  </w:t>
      </w:r>
      <w:r w:rsidR="00E92E9D">
        <w:t>Cantarutti</w:t>
      </w:r>
      <w:r>
        <w:t xml:space="preserve"> unexpectedly appeared at her workplace.  He explained that he was there to serve her with </w:t>
      </w:r>
      <w:r w:rsidR="00FF20F0">
        <w:t>a</w:t>
      </w:r>
      <w:r>
        <w:t xml:space="preserve"> </w:t>
      </w:r>
      <w:r w:rsidR="001A1992">
        <w:t xml:space="preserve">deposition </w:t>
      </w:r>
      <w:r>
        <w:t xml:space="preserve">notice.  He told Dawna that she had to come to his office for the deposition.  </w:t>
      </w:r>
      <w:r w:rsidR="00E92E9D">
        <w:t>Cantarutti</w:t>
      </w:r>
      <w:r>
        <w:t xml:space="preserve"> then said something to the effect of, “While I’m here, why don’t I just get your boyfriend’s name and address and phone number?”  Dawna provided this information to </w:t>
      </w:r>
      <w:r w:rsidR="00E92E9D">
        <w:t>Cantarutti</w:t>
      </w:r>
      <w:r w:rsidR="00FF20F0">
        <w:t>,</w:t>
      </w:r>
      <w:r>
        <w:t xml:space="preserve"> and he left.  She then immediately reported the contact to her attorney.  Dawna estimated</w:t>
      </w:r>
      <w:r w:rsidR="00FF20F0">
        <w:t xml:space="preserve"> that</w:t>
      </w:r>
      <w:r>
        <w:t xml:space="preserve"> the encounter lasted about five minutes.</w:t>
      </w:r>
      <w:r w:rsidR="001A1992">
        <w:t xml:space="preserve">  </w:t>
      </w:r>
    </w:p>
    <w:p w:rsidR="00915172" w:rsidRDefault="001A1992" w:rsidP="001D7EC0">
      <w:pPr>
        <w:spacing w:line="480" w:lineRule="auto"/>
        <w:ind w:firstLine="720"/>
      </w:pPr>
      <w:r>
        <w:t>Two</w:t>
      </w:r>
      <w:r w:rsidR="00C71CB8">
        <w:t xml:space="preserve"> of Dawna’s co-workers, </w:t>
      </w:r>
      <w:r>
        <w:t>Isabel Franchini and Rhon</w:t>
      </w:r>
      <w:r w:rsidR="005774D5">
        <w:t>d</w:t>
      </w:r>
      <w:r>
        <w:t>a Gold</w:t>
      </w:r>
      <w:r w:rsidR="00C71CB8">
        <w:t>,</w:t>
      </w:r>
      <w:r>
        <w:t xml:space="preserve"> were present when Cantarutti </w:t>
      </w:r>
      <w:r w:rsidR="00020518">
        <w:t>arrived</w:t>
      </w:r>
      <w:r w:rsidR="00EF364C">
        <w:t xml:space="preserve">.  While both </w:t>
      </w:r>
      <w:r w:rsidR="005B072E">
        <w:t>observed</w:t>
      </w:r>
      <w:r w:rsidR="00EF364C">
        <w:t xml:space="preserve"> the encounter, neither</w:t>
      </w:r>
      <w:r w:rsidR="00020518">
        <w:t xml:space="preserve"> hear</w:t>
      </w:r>
      <w:r w:rsidR="00EF364C">
        <w:t>d</w:t>
      </w:r>
      <w:r w:rsidR="005B072E">
        <w:t xml:space="preserve"> </w:t>
      </w:r>
      <w:r w:rsidR="00020518">
        <w:t xml:space="preserve">the discussion between </w:t>
      </w:r>
      <w:r w:rsidR="005B072E">
        <w:t xml:space="preserve">Cantarutti </w:t>
      </w:r>
      <w:r w:rsidR="002059C0">
        <w:t>and Dawna</w:t>
      </w:r>
      <w:r w:rsidR="00C27D11">
        <w:t>.</w:t>
      </w:r>
      <w:r>
        <w:t xml:space="preserve">  </w:t>
      </w:r>
      <w:r w:rsidR="00D215CA">
        <w:t xml:space="preserve">Franchini and Gold </w:t>
      </w:r>
      <w:r>
        <w:t xml:space="preserve">testified that the conversation took five to ten minutes, and </w:t>
      </w:r>
      <w:r w:rsidR="00020518">
        <w:t xml:space="preserve">that </w:t>
      </w:r>
      <w:r>
        <w:t>Dawna was upset after Cantarutti left.</w:t>
      </w:r>
      <w:r w:rsidR="009E2710">
        <w:t xml:space="preserve">   </w:t>
      </w:r>
    </w:p>
    <w:p w:rsidR="00915172" w:rsidRDefault="00915172">
      <w:pPr>
        <w:widowControl/>
        <w:autoSpaceDE/>
        <w:autoSpaceDN/>
        <w:adjustRightInd/>
      </w:pPr>
      <w:r>
        <w:br w:type="page"/>
      </w:r>
    </w:p>
    <w:p w:rsidR="009E2710" w:rsidRDefault="009E2710" w:rsidP="0026281D">
      <w:pPr>
        <w:spacing w:line="480" w:lineRule="auto"/>
        <w:jc w:val="center"/>
        <w:rPr>
          <w:b/>
        </w:rPr>
      </w:pPr>
      <w:r>
        <w:rPr>
          <w:b/>
        </w:rPr>
        <w:t>III</w:t>
      </w:r>
      <w:proofErr w:type="gramStart"/>
      <w:r>
        <w:rPr>
          <w:b/>
        </w:rPr>
        <w:t>.</w:t>
      </w:r>
      <w:r w:rsidRPr="00011F12">
        <w:rPr>
          <w:b/>
        </w:rPr>
        <w:t xml:space="preserve">  </w:t>
      </w:r>
      <w:r>
        <w:rPr>
          <w:b/>
        </w:rPr>
        <w:t>CULPABILITY</w:t>
      </w:r>
      <w:proofErr w:type="gramEnd"/>
    </w:p>
    <w:p w:rsidR="00D215CA" w:rsidRDefault="00D215CA" w:rsidP="00D215CA">
      <w:pPr>
        <w:spacing w:line="480" w:lineRule="auto"/>
      </w:pPr>
      <w:r>
        <w:rPr>
          <w:b/>
        </w:rPr>
        <w:tab/>
      </w:r>
      <w:r>
        <w:t xml:space="preserve">Cantarutti is charged with </w:t>
      </w:r>
      <w:r w:rsidR="00C27D11">
        <w:t>one</w:t>
      </w:r>
      <w:r>
        <w:t xml:space="preserve"> rule 2-100(</w:t>
      </w:r>
      <w:r w:rsidR="005956AA">
        <w:t>A</w:t>
      </w:r>
      <w:r>
        <w:t>)</w:t>
      </w:r>
      <w:r w:rsidR="005956AA" w:rsidRPr="0026281D">
        <w:rPr>
          <w:vertAlign w:val="superscript"/>
        </w:rPr>
        <w:t xml:space="preserve"> </w:t>
      </w:r>
      <w:r>
        <w:t>violation (communicating with a represented party)</w:t>
      </w:r>
      <w:r w:rsidR="00166A8C" w:rsidRPr="0026281D">
        <w:rPr>
          <w:rStyle w:val="FootnoteReference"/>
          <w:vertAlign w:val="superscript"/>
        </w:rPr>
        <w:footnoteReference w:id="4"/>
      </w:r>
      <w:r>
        <w:t xml:space="preserve"> </w:t>
      </w:r>
      <w:r w:rsidR="00020518">
        <w:t>for</w:t>
      </w:r>
      <w:r>
        <w:t xml:space="preserve"> two acts of misconduct.  </w:t>
      </w:r>
      <w:r w:rsidR="005B072E">
        <w:t xml:space="preserve">The State Bar </w:t>
      </w:r>
      <w:r w:rsidR="002059C0">
        <w:t>claims</w:t>
      </w:r>
      <w:r>
        <w:t xml:space="preserve"> that serving the deposition notice on Dawna and then asking </w:t>
      </w:r>
      <w:r w:rsidR="002059C0">
        <w:t xml:space="preserve">her </w:t>
      </w:r>
      <w:r>
        <w:t xml:space="preserve">questions about the case constitute </w:t>
      </w:r>
      <w:r w:rsidR="002059C0">
        <w:t>separate</w:t>
      </w:r>
      <w:r>
        <w:t xml:space="preserve"> violation</w:t>
      </w:r>
      <w:r w:rsidR="002059C0">
        <w:t>s</w:t>
      </w:r>
      <w:r>
        <w:t xml:space="preserve"> of the rule. </w:t>
      </w:r>
      <w:r w:rsidR="00654459">
        <w:t xml:space="preserve"> </w:t>
      </w:r>
    </w:p>
    <w:p w:rsidR="00395952" w:rsidRDefault="00654459" w:rsidP="00011F12">
      <w:pPr>
        <w:spacing w:line="480" w:lineRule="auto"/>
      </w:pPr>
      <w:r>
        <w:tab/>
      </w:r>
      <w:r w:rsidR="003F7A0A">
        <w:t xml:space="preserve">In order to fully analyze Cantarutti’s alleged misconduct, </w:t>
      </w:r>
      <w:r w:rsidR="00CE5D57">
        <w:t xml:space="preserve">we </w:t>
      </w:r>
      <w:r w:rsidR="00CB404D">
        <w:t>explore</w:t>
      </w:r>
      <w:r w:rsidR="00CE5D57">
        <w:t xml:space="preserve"> the </w:t>
      </w:r>
      <w:r w:rsidR="005B072E">
        <w:t xml:space="preserve">public </w:t>
      </w:r>
      <w:r w:rsidR="00CE5D57">
        <w:t>policy behind r</w:t>
      </w:r>
      <w:r>
        <w:t>ule 2-100</w:t>
      </w:r>
      <w:r w:rsidR="00CE5D57">
        <w:t>.</w:t>
      </w:r>
      <w:r w:rsidR="009E19E2">
        <w:t xml:space="preserve"> </w:t>
      </w:r>
      <w:r w:rsidR="00142F43">
        <w:t xml:space="preserve"> </w:t>
      </w:r>
      <w:r w:rsidR="00CB404D">
        <w:t xml:space="preserve">Our research reveals that the </w:t>
      </w:r>
      <w:r w:rsidR="00142F43">
        <w:t xml:space="preserve">rule </w:t>
      </w:r>
      <w:r w:rsidR="003F7A0A">
        <w:t>has a simpl</w:t>
      </w:r>
      <w:r w:rsidR="00020518">
        <w:t>e</w:t>
      </w:r>
      <w:r w:rsidR="003F7A0A">
        <w:t xml:space="preserve"> mission – it </w:t>
      </w:r>
      <w:r>
        <w:t>is intended to control communications between an attorney for one side of a case and a</w:t>
      </w:r>
      <w:r w:rsidR="00C27D11">
        <w:t xml:space="preserve"> </w:t>
      </w:r>
      <w:r>
        <w:t xml:space="preserve">represented party on the other side.  </w:t>
      </w:r>
      <w:r w:rsidR="005B072E">
        <w:t xml:space="preserve">We have previously noted </w:t>
      </w:r>
      <w:r w:rsidR="00FC1245">
        <w:t xml:space="preserve">the rule’s </w:t>
      </w:r>
      <w:r w:rsidR="00CB404D">
        <w:t xml:space="preserve">therapeutic </w:t>
      </w:r>
      <w:r w:rsidR="003F7A0A">
        <w:t>nature since it is</w:t>
      </w:r>
      <w:r w:rsidR="005B072E">
        <w:t xml:space="preserve"> </w:t>
      </w:r>
      <w:r w:rsidR="00CB404D">
        <w:t xml:space="preserve">designed to shield a represented party from an attorney’s approaches which are </w:t>
      </w:r>
      <w:r w:rsidR="00020518">
        <w:t>either</w:t>
      </w:r>
      <w:r w:rsidR="00CB404D">
        <w:t xml:space="preserve"> deliberately improper</w:t>
      </w:r>
      <w:r w:rsidR="00C27D11">
        <w:t xml:space="preserve"> or </w:t>
      </w:r>
      <w:r w:rsidR="005B072E">
        <w:t>well-meaning but misguided.</w:t>
      </w:r>
      <w:r w:rsidR="00020518">
        <w:t xml:space="preserve"> </w:t>
      </w:r>
      <w:r w:rsidR="00395952">
        <w:t xml:space="preserve"> </w:t>
      </w:r>
      <w:proofErr w:type="gramStart"/>
      <w:r w:rsidR="00395952">
        <w:t>(</w:t>
      </w:r>
      <w:r w:rsidR="00395952" w:rsidRPr="00A473FF">
        <w:rPr>
          <w:i/>
        </w:rPr>
        <w:t>In the Matter of Wyshak</w:t>
      </w:r>
      <w:r w:rsidR="00395952" w:rsidRPr="00A473FF">
        <w:t xml:space="preserve"> (Review Dept. 1999) 4 Cal. State Bar Ct. Rptr. 70, 81.</w:t>
      </w:r>
      <w:r w:rsidR="00395952">
        <w:t>)</w:t>
      </w:r>
      <w:proofErr w:type="gramEnd"/>
      <w:r w:rsidR="00395952" w:rsidRPr="00A473FF">
        <w:t xml:space="preserve">  </w:t>
      </w:r>
      <w:r w:rsidR="005B072E">
        <w:t>Indeed, r</w:t>
      </w:r>
      <w:r w:rsidR="00CB404D">
        <w:t xml:space="preserve">ule 2-100 serves </w:t>
      </w:r>
      <w:r w:rsidR="00FC1245">
        <w:t>a</w:t>
      </w:r>
      <w:r w:rsidR="005B072E">
        <w:t xml:space="preserve"> crucial</w:t>
      </w:r>
      <w:r w:rsidR="00CB404D">
        <w:t xml:space="preserve"> </w:t>
      </w:r>
      <w:r w:rsidR="00FC1245">
        <w:t>ethical purpose</w:t>
      </w:r>
      <w:r w:rsidR="00CB404D">
        <w:t xml:space="preserve"> as it</w:t>
      </w:r>
      <w:r w:rsidR="00142F43">
        <w:t xml:space="preserve"> </w:t>
      </w:r>
      <w:r>
        <w:t>“prevents an attorney from taking advantage of an opposing party in the absence of his or her counsel and preserves the integrity of the attorney-client relationship.”</w:t>
      </w:r>
      <w:r w:rsidR="00395952">
        <w:t xml:space="preserve">  </w:t>
      </w:r>
      <w:proofErr w:type="gramStart"/>
      <w:r w:rsidR="00395952">
        <w:t>(</w:t>
      </w:r>
      <w:r w:rsidR="00395952" w:rsidRPr="00A473FF">
        <w:t xml:space="preserve">Vapnek, </w:t>
      </w:r>
      <w:r w:rsidR="00756B6C">
        <w:t xml:space="preserve">et al., Cal. Practice Guide: </w:t>
      </w:r>
      <w:r w:rsidR="00395952" w:rsidRPr="00A473FF">
        <w:t>Professional Responsibility (The Rutter Group 2008)</w:t>
      </w:r>
      <w:r w:rsidR="00756B6C">
        <w:t xml:space="preserve"> § </w:t>
      </w:r>
      <w:r w:rsidR="00395952" w:rsidRPr="00A473FF">
        <w:t>8:318, p</w:t>
      </w:r>
      <w:r w:rsidR="00395952">
        <w:t>p</w:t>
      </w:r>
      <w:r w:rsidR="00395952" w:rsidRPr="00A473FF">
        <w:t>. 8-53</w:t>
      </w:r>
      <w:r w:rsidR="00395952">
        <w:t>.)</w:t>
      </w:r>
      <w:proofErr w:type="gramEnd"/>
      <w:r w:rsidR="005B072E" w:rsidRPr="00020518">
        <w:rPr>
          <w:rStyle w:val="FootnoteReference"/>
          <w:vertAlign w:val="superscript"/>
        </w:rPr>
        <w:footnoteReference w:id="5"/>
      </w:r>
      <w:r w:rsidR="00020518">
        <w:t xml:space="preserve">  </w:t>
      </w:r>
      <w:r w:rsidR="005B072E">
        <w:t xml:space="preserve">We review the record with this </w:t>
      </w:r>
      <w:r w:rsidR="003F7A0A">
        <w:t xml:space="preserve">public </w:t>
      </w:r>
      <w:r w:rsidR="005B072E">
        <w:t>policy in mind.</w:t>
      </w:r>
    </w:p>
    <w:p w:rsidR="00395952" w:rsidRDefault="00395952">
      <w:pPr>
        <w:widowControl/>
        <w:autoSpaceDE/>
        <w:autoSpaceDN/>
        <w:adjustRightInd/>
      </w:pPr>
      <w:r>
        <w:br w:type="page"/>
      </w:r>
    </w:p>
    <w:p w:rsidR="009E2710" w:rsidRPr="00011F12" w:rsidRDefault="00C80907" w:rsidP="00011F12">
      <w:pPr>
        <w:spacing w:line="480" w:lineRule="auto"/>
        <w:rPr>
          <w:b/>
        </w:rPr>
      </w:pPr>
      <w:r>
        <w:rPr>
          <w:b/>
        </w:rPr>
        <w:t>A.</w:t>
      </w:r>
      <w:r>
        <w:rPr>
          <w:b/>
        </w:rPr>
        <w:tab/>
      </w:r>
      <w:r w:rsidR="00E92E9D">
        <w:rPr>
          <w:b/>
        </w:rPr>
        <w:t>Cantarutti</w:t>
      </w:r>
      <w:r w:rsidR="009E2710">
        <w:rPr>
          <w:b/>
        </w:rPr>
        <w:t>’s Personal Service of the Notice of Deposition</w:t>
      </w:r>
      <w:r w:rsidR="005B072E">
        <w:rPr>
          <w:b/>
        </w:rPr>
        <w:t xml:space="preserve"> (Rule 2-100(A))</w:t>
      </w:r>
    </w:p>
    <w:p w:rsidR="009E2710" w:rsidRDefault="009E2710" w:rsidP="001A1992">
      <w:pPr>
        <w:spacing w:line="480" w:lineRule="auto"/>
        <w:ind w:firstLine="720"/>
      </w:pPr>
      <w:r>
        <w:t xml:space="preserve">We adopt the hearing judge’s finding that </w:t>
      </w:r>
      <w:r w:rsidR="00E92E9D">
        <w:t>Cantarutti</w:t>
      </w:r>
      <w:r>
        <w:t xml:space="preserve"> was not authorized to personally serve Dawna with the</w:t>
      </w:r>
      <w:r w:rsidR="001A1992">
        <w:t xml:space="preserve"> deposition</w:t>
      </w:r>
      <w:r>
        <w:t xml:space="preserve"> notice, a</w:t>
      </w:r>
      <w:r w:rsidR="002059C0">
        <w:t>nd that such service constitutes</w:t>
      </w:r>
      <w:r>
        <w:t xml:space="preserve"> </w:t>
      </w:r>
      <w:r w:rsidR="002059C0">
        <w:t xml:space="preserve">a </w:t>
      </w:r>
      <w:r>
        <w:t>communication with a represented party</w:t>
      </w:r>
      <w:r w:rsidR="00020518">
        <w:t>,</w:t>
      </w:r>
      <w:r>
        <w:t xml:space="preserve"> in violation of rule 2-100(A). </w:t>
      </w:r>
      <w:r w:rsidR="00020518">
        <w:t xml:space="preserve"> </w:t>
      </w:r>
      <w:r w:rsidR="00E92E9D">
        <w:t>Cantarutti</w:t>
      </w:r>
      <w:r>
        <w:t xml:space="preserve"> </w:t>
      </w:r>
      <w:r w:rsidR="008273AE">
        <w:t xml:space="preserve">makes numerous </w:t>
      </w:r>
      <w:r>
        <w:t xml:space="preserve">challenges </w:t>
      </w:r>
      <w:r w:rsidR="008273AE">
        <w:t xml:space="preserve">to </w:t>
      </w:r>
      <w:r w:rsidR="00BF249A">
        <w:t>this finding</w:t>
      </w:r>
      <w:r w:rsidR="008273AE">
        <w:t>, each of which we find to be without merit.</w:t>
      </w:r>
    </w:p>
    <w:p w:rsidR="00FA5F0E" w:rsidRPr="0002026F" w:rsidRDefault="00166A8C" w:rsidP="00EF364C">
      <w:pPr>
        <w:spacing w:line="480" w:lineRule="auto"/>
        <w:ind w:firstLine="720"/>
        <w:rPr>
          <w:vertAlign w:val="superscript"/>
        </w:rPr>
      </w:pPr>
      <w:r>
        <w:t>C</w:t>
      </w:r>
      <w:r w:rsidR="00E92E9D">
        <w:t>antarutti</w:t>
      </w:r>
      <w:r w:rsidR="009E2710">
        <w:t xml:space="preserve"> asserts that he was authorized by statute to personally serve Dawna with the </w:t>
      </w:r>
      <w:r w:rsidR="00EF364C">
        <w:t xml:space="preserve">deposition </w:t>
      </w:r>
      <w:r w:rsidR="009E2710">
        <w:t>notice.  He argues that Code of Civil Procedure section 1015</w:t>
      </w:r>
      <w:r w:rsidR="00020518">
        <w:t>,</w:t>
      </w:r>
      <w:r w:rsidR="009E2710" w:rsidRPr="00020518">
        <w:rPr>
          <w:vertAlign w:val="superscript"/>
        </w:rPr>
        <w:footnoteReference w:id="6"/>
      </w:r>
      <w:r w:rsidR="009E2710">
        <w:t xml:space="preserve"> upon which the hearing judge relied, is not applicable and </w:t>
      </w:r>
      <w:proofErr w:type="gramStart"/>
      <w:r w:rsidR="00020518">
        <w:t xml:space="preserve">that </w:t>
      </w:r>
      <w:r w:rsidR="009E2710">
        <w:t>sections</w:t>
      </w:r>
      <w:proofErr w:type="gramEnd"/>
      <w:r w:rsidR="009E2710">
        <w:t xml:space="preserve"> 1010</w:t>
      </w:r>
      <w:r w:rsidR="00756B6C">
        <w:t>,</w:t>
      </w:r>
      <w:r w:rsidR="009E2710" w:rsidRPr="00756B6C">
        <w:rPr>
          <w:vertAlign w:val="superscript"/>
        </w:rPr>
        <w:footnoteReference w:id="7"/>
      </w:r>
      <w:r w:rsidR="009E2710" w:rsidRPr="00756B6C">
        <w:t xml:space="preserve"> 1</w:t>
      </w:r>
      <w:r w:rsidR="009E2710">
        <w:t>011</w:t>
      </w:r>
      <w:r w:rsidR="00756B6C">
        <w:t>,</w:t>
      </w:r>
      <w:r w:rsidR="009E2710" w:rsidRPr="00020518">
        <w:rPr>
          <w:vertAlign w:val="superscript"/>
        </w:rPr>
        <w:footnoteReference w:id="8"/>
      </w:r>
      <w:r w:rsidR="009E2710" w:rsidRPr="00D215CA">
        <w:rPr>
          <w:b/>
        </w:rPr>
        <w:t xml:space="preserve"> </w:t>
      </w:r>
      <w:r w:rsidR="009E2710">
        <w:t>and 1014</w:t>
      </w:r>
      <w:r w:rsidR="009E2710" w:rsidRPr="00020518">
        <w:rPr>
          <w:vertAlign w:val="superscript"/>
        </w:rPr>
        <w:footnoteReference w:id="9"/>
      </w:r>
      <w:r w:rsidR="009E2710" w:rsidRPr="00D215CA">
        <w:rPr>
          <w:b/>
        </w:rPr>
        <w:t xml:space="preserve"> </w:t>
      </w:r>
      <w:r w:rsidR="009E2710">
        <w:t xml:space="preserve">support his position.  </w:t>
      </w:r>
      <w:r w:rsidR="00D215CA">
        <w:t>This argument fails</w:t>
      </w:r>
      <w:r w:rsidR="008273AE">
        <w:t xml:space="preserve">.  </w:t>
      </w:r>
      <w:r w:rsidR="009E2710">
        <w:t xml:space="preserve">Notices or other papers may be served on the party or on the party’s attorney in the manner set forth by the provisions of the code relating to notices, </w:t>
      </w:r>
      <w:r w:rsidR="00EF364C">
        <w:t>“when not otherwise provided” by law.</w:t>
      </w:r>
      <w:r w:rsidR="009E2710">
        <w:t xml:space="preserve">  (Code Civ. Proc., § 1010 et seq.)  This broad provision for service on the party or attorney must be read in connection with </w:t>
      </w:r>
      <w:r w:rsidR="008273AE">
        <w:t xml:space="preserve">the </w:t>
      </w:r>
      <w:r w:rsidR="009E2710">
        <w:t xml:space="preserve">specific requirement of section 1015 that </w:t>
      </w:r>
      <w:r w:rsidR="009E2710" w:rsidRPr="0002026F">
        <w:rPr>
          <w:i/>
        </w:rPr>
        <w:t>in cases where a party has an attorney</w:t>
      </w:r>
      <w:r w:rsidR="009E2710">
        <w:t>, “</w:t>
      </w:r>
      <w:r w:rsidR="009E2710" w:rsidRPr="003D7956">
        <w:t>the</w:t>
      </w:r>
      <w:r w:rsidR="009E2710">
        <w:t xml:space="preserve"> service of papers, when required, must be upon the attorney instead of the party, except service of subpoenas, of writs, and other process issued in the suit, and of papers to bring the party in contempt.”  </w:t>
      </w:r>
      <w:proofErr w:type="gramStart"/>
      <w:r w:rsidR="009E2710">
        <w:t xml:space="preserve">(See </w:t>
      </w:r>
      <w:r w:rsidR="00DC78B6" w:rsidRPr="00D215CA">
        <w:rPr>
          <w:i/>
        </w:rPr>
        <w:t>In re Nelson’s Estate</w:t>
      </w:r>
      <w:r w:rsidR="009E2710">
        <w:t xml:space="preserve"> (1900) 128 </w:t>
      </w:r>
      <w:r w:rsidR="009E2710">
        <w:lastRenderedPageBreak/>
        <w:t>Cal. 242, 243-244 [</w:t>
      </w:r>
      <w:r w:rsidR="00C27D11">
        <w:t>§</w:t>
      </w:r>
      <w:r w:rsidR="00DC78B6">
        <w:t xml:space="preserve"> 1015 requires a</w:t>
      </w:r>
      <w:r w:rsidR="009E2710">
        <w:t xml:space="preserve">ll </w:t>
      </w:r>
      <w:r w:rsidR="009E2710" w:rsidRPr="00DC78B6">
        <w:rPr>
          <w:i/>
        </w:rPr>
        <w:t>notices</w:t>
      </w:r>
      <w:r w:rsidR="009E2710">
        <w:t xml:space="preserve"> be served on attorney</w:t>
      </w:r>
      <w:r w:rsidR="00DC78B6">
        <w:t xml:space="preserve"> when</w:t>
      </w:r>
      <w:r w:rsidR="009E2710">
        <w:t xml:space="preserve"> party is represented by counsel].)</w:t>
      </w:r>
      <w:proofErr w:type="gramEnd"/>
      <w:r w:rsidR="009E2710">
        <w:t xml:space="preserve">  </w:t>
      </w:r>
      <w:r w:rsidR="00EF364C">
        <w:t>A</w:t>
      </w:r>
      <w:r w:rsidR="00D215CA">
        <w:t>s</w:t>
      </w:r>
      <w:r w:rsidR="00EF364C">
        <w:t xml:space="preserve"> </w:t>
      </w:r>
      <w:r w:rsidR="00D215CA">
        <w:t xml:space="preserve">of January 1, 2007, </w:t>
      </w:r>
      <w:r w:rsidR="00FA5F0E">
        <w:t xml:space="preserve">the </w:t>
      </w:r>
      <w:r w:rsidR="00FA5F0E" w:rsidRPr="00275ED6">
        <w:t>California Rule</w:t>
      </w:r>
      <w:r w:rsidR="00FA5F0E">
        <w:t>s</w:t>
      </w:r>
      <w:r w:rsidR="00FA5F0E" w:rsidRPr="00275ED6">
        <w:t xml:space="preserve"> of Court</w:t>
      </w:r>
      <w:r w:rsidR="00FA5F0E">
        <w:t xml:space="preserve"> </w:t>
      </w:r>
      <w:r w:rsidR="005B072E">
        <w:t xml:space="preserve">specifically </w:t>
      </w:r>
      <w:r w:rsidR="00FA5F0E" w:rsidRPr="00275ED6">
        <w:t>require that service</w:t>
      </w:r>
      <w:r w:rsidR="00FA5F0E">
        <w:t xml:space="preserve"> </w:t>
      </w:r>
      <w:r w:rsidR="00DC78B6">
        <w:t xml:space="preserve">of legal documents </w:t>
      </w:r>
      <w:r w:rsidR="00FA5F0E" w:rsidRPr="00275ED6">
        <w:t>must be made on the attorney</w:t>
      </w:r>
      <w:r w:rsidR="00DC78B6">
        <w:t xml:space="preserve"> of a represented party.</w:t>
      </w:r>
      <w:r w:rsidR="00FA5F0E" w:rsidRPr="0002026F">
        <w:rPr>
          <w:rStyle w:val="FootnoteReference"/>
          <w:vertAlign w:val="superscript"/>
        </w:rPr>
        <w:footnoteReference w:id="10"/>
      </w:r>
    </w:p>
    <w:p w:rsidR="00166A8C" w:rsidRDefault="00166A8C" w:rsidP="00166A8C">
      <w:pPr>
        <w:spacing w:line="480" w:lineRule="auto"/>
        <w:ind w:firstLine="720"/>
      </w:pPr>
      <w:r>
        <w:t>Cantarutti also incorrectly asserts that he was authorized to serve the deposition notice because section 1015 applies to service when a party resides out of state.  Only the first sentence of section 1015 applies</w:t>
      </w:r>
      <w:r w:rsidR="007D7741">
        <w:t xml:space="preserve"> to </w:t>
      </w:r>
      <w:r>
        <w:t xml:space="preserve">non-resident parties and permits service on the court clerk.  However, section 1015 </w:t>
      </w:r>
      <w:r w:rsidR="007D7741">
        <w:t xml:space="preserve">continues on to </w:t>
      </w:r>
      <w:r>
        <w:t xml:space="preserve">require, with certain exceptions, that in all other cases, service of papers must be on the attorney when a party is represented.  Courts have “always treated this section (except the first sentence thereof which, clearly, applies only to nonresidents) as applicable to all litigants, resident and nonresident alike.”  </w:t>
      </w:r>
      <w:proofErr w:type="gramStart"/>
      <w:r>
        <w:t>(</w:t>
      </w:r>
      <w:r w:rsidRPr="00D215CA">
        <w:rPr>
          <w:i/>
        </w:rPr>
        <w:t>L</w:t>
      </w:r>
      <w:r w:rsidR="00ED7239">
        <w:rPr>
          <w:i/>
        </w:rPr>
        <w:t>y</w:t>
      </w:r>
      <w:r w:rsidRPr="00D215CA">
        <w:rPr>
          <w:i/>
        </w:rPr>
        <w:t>ydikainen v. Industrial Accident Commission</w:t>
      </w:r>
      <w:r>
        <w:t xml:space="preserve"> (1939) 36 Cal.App.2d 298, 301-302.)</w:t>
      </w:r>
      <w:proofErr w:type="gramEnd"/>
      <w:r>
        <w:t xml:space="preserve">  </w:t>
      </w:r>
    </w:p>
    <w:p w:rsidR="009E2710" w:rsidRDefault="00FA5F0E" w:rsidP="00FA5F0E">
      <w:pPr>
        <w:spacing w:line="480" w:lineRule="auto"/>
        <w:ind w:firstLine="720"/>
        <w:rPr>
          <w:vertAlign w:val="superscript"/>
        </w:rPr>
      </w:pPr>
      <w:r>
        <w:t xml:space="preserve">Cantarutti </w:t>
      </w:r>
      <w:r w:rsidR="00166A8C">
        <w:t>further</w:t>
      </w:r>
      <w:r w:rsidR="005B072E">
        <w:t xml:space="preserve"> contends</w:t>
      </w:r>
      <w:r>
        <w:t xml:space="preserve"> that</w:t>
      </w:r>
      <w:r w:rsidRPr="008958AB">
        <w:t xml:space="preserve"> sec</w:t>
      </w:r>
      <w:r>
        <w:t xml:space="preserve">tions 414.10, 2025.220 et seq. and 1987 </w:t>
      </w:r>
      <w:r w:rsidRPr="008958AB">
        <w:t xml:space="preserve">gave </w:t>
      </w:r>
      <w:r>
        <w:t>him</w:t>
      </w:r>
      <w:r w:rsidRPr="008958AB">
        <w:t xml:space="preserve"> authority to personally serve Dawna.  </w:t>
      </w:r>
      <w:r>
        <w:t>These sections are inapplicable</w:t>
      </w:r>
      <w:r w:rsidR="00DC78B6">
        <w:t xml:space="preserve"> to this case</w:t>
      </w:r>
      <w:r>
        <w:t xml:space="preserve">.  Section 414.10 applies only to service of a summons.  </w:t>
      </w:r>
      <w:r w:rsidRPr="008958AB">
        <w:t>Section 2025.220 et seq. do</w:t>
      </w:r>
      <w:r w:rsidR="00ED7239">
        <w:t>es</w:t>
      </w:r>
      <w:r w:rsidRPr="008958AB">
        <w:t xml:space="preserve"> not </w:t>
      </w:r>
      <w:r>
        <w:t xml:space="preserve">apply to </w:t>
      </w:r>
      <w:r w:rsidRPr="008958AB">
        <w:t xml:space="preserve">service of a deposition notice.  </w:t>
      </w:r>
      <w:r>
        <w:t>S</w:t>
      </w:r>
      <w:r w:rsidRPr="008958AB">
        <w:t xml:space="preserve">ection 1987, subdivision (a) refers to the service of a </w:t>
      </w:r>
      <w:r w:rsidRPr="00FC1245">
        <w:rPr>
          <w:i/>
        </w:rPr>
        <w:t>subpoena</w:t>
      </w:r>
      <w:r w:rsidRPr="008958AB">
        <w:t xml:space="preserve"> to </w:t>
      </w:r>
      <w:r>
        <w:t>compel</w:t>
      </w:r>
      <w:r w:rsidRPr="008958AB">
        <w:t xml:space="preserve"> attendance of a </w:t>
      </w:r>
      <w:r w:rsidR="00FC1245" w:rsidRPr="00FC1245">
        <w:rPr>
          <w:i/>
        </w:rPr>
        <w:t xml:space="preserve">non-party </w:t>
      </w:r>
      <w:r w:rsidRPr="00FC1245">
        <w:rPr>
          <w:i/>
        </w:rPr>
        <w:t>witness</w:t>
      </w:r>
      <w:r>
        <w:t xml:space="preserve"> at a deposition</w:t>
      </w:r>
      <w:r w:rsidRPr="008958AB">
        <w:t xml:space="preserve">, </w:t>
      </w:r>
      <w:r w:rsidR="00D215CA">
        <w:t xml:space="preserve">and </w:t>
      </w:r>
      <w:r w:rsidRPr="008958AB">
        <w:t>sect</w:t>
      </w:r>
      <w:r w:rsidR="00166A8C">
        <w:t>ion 1987, subdivision (b) provides</w:t>
      </w:r>
      <w:r w:rsidRPr="008958AB">
        <w:t xml:space="preserve"> for the service of a </w:t>
      </w:r>
      <w:r w:rsidRPr="00FC1245">
        <w:rPr>
          <w:i/>
        </w:rPr>
        <w:t>notice</w:t>
      </w:r>
      <w:r w:rsidRPr="008958AB">
        <w:t xml:space="preserve"> on </w:t>
      </w:r>
      <w:r w:rsidR="00FC1245">
        <w:t>a</w:t>
      </w:r>
      <w:r w:rsidRPr="008958AB">
        <w:t xml:space="preserve"> party’s attorney</w:t>
      </w:r>
      <w:r>
        <w:t xml:space="preserve"> to compel </w:t>
      </w:r>
      <w:r w:rsidR="00FC1245">
        <w:t xml:space="preserve">the </w:t>
      </w:r>
      <w:r w:rsidR="00FC1245" w:rsidRPr="00FC1245">
        <w:rPr>
          <w:i/>
        </w:rPr>
        <w:t>party</w:t>
      </w:r>
      <w:r w:rsidR="00FC1245">
        <w:t xml:space="preserve"> to appear at a deposition</w:t>
      </w:r>
      <w:r w:rsidRPr="008958AB">
        <w:t xml:space="preserve">.  (2 </w:t>
      </w:r>
      <w:smartTag w:uri="urn:schemas-microsoft-com:office:smarttags" w:element="City">
        <w:smartTag w:uri="urn:schemas-microsoft-com:office:smarttags" w:element="place">
          <w:r w:rsidRPr="008958AB">
            <w:t>Witkin</w:t>
          </w:r>
        </w:smartTag>
        <w:r w:rsidRPr="008958AB">
          <w:t xml:space="preserve">, </w:t>
        </w:r>
        <w:smartTag w:uri="urn:schemas-microsoft-com:office:smarttags" w:element="State">
          <w:r w:rsidRPr="008958AB">
            <w:t>Cal.</w:t>
          </w:r>
        </w:smartTag>
      </w:smartTag>
      <w:r w:rsidRPr="008958AB">
        <w:t xml:space="preserve"> Evidence (4</w:t>
      </w:r>
      <w:r w:rsidRPr="00FA5F0E">
        <w:t>th</w:t>
      </w:r>
      <w:r w:rsidRPr="008958AB">
        <w:t xml:space="preserve"> ed. 2000) Witnesses, § 26, p. 282 and § 36, p. 287.)</w:t>
      </w:r>
      <w:r>
        <w:t xml:space="preserve">   </w:t>
      </w:r>
      <w:r w:rsidR="009E2710">
        <w:rPr>
          <w:vertAlign w:val="superscript"/>
        </w:rPr>
        <w:t xml:space="preserve">  </w:t>
      </w:r>
    </w:p>
    <w:p w:rsidR="009E2710" w:rsidRDefault="00E92E9D" w:rsidP="00395952">
      <w:pPr>
        <w:spacing w:line="480" w:lineRule="auto"/>
        <w:ind w:firstLine="720"/>
      </w:pPr>
      <w:r>
        <w:t>Cantarutti</w:t>
      </w:r>
      <w:r w:rsidR="009E2710">
        <w:t xml:space="preserve"> claims that personally serving the notice was not an “improper communication” but a “required legal notice served upon a party to require that party’s attendance” at a deposition.  He reasons that such notices are legal process that may be issued by an attorney acting as an officer of the court and then served by the attorney on a party.  This </w:t>
      </w:r>
      <w:r w:rsidR="009E2710">
        <w:lastRenderedPageBreak/>
        <w:t>argument is without merit.  A notice of deposition is not a legal process as defined by the Code of Civil Procedure, but rather “the word ‘process’ signifies a writ or summons issued in the course of judicial proceedings.”  (Code Civ. Proc., § 17</w:t>
      </w:r>
      <w:r w:rsidR="00A57CA5">
        <w:t xml:space="preserve">, subd. </w:t>
      </w:r>
      <w:r w:rsidR="009E2710">
        <w:t>(b)</w:t>
      </w:r>
      <w:r w:rsidR="00ED7239">
        <w:t>(6)</w:t>
      </w:r>
      <w:r w:rsidR="009E2710">
        <w:t>.</w:t>
      </w:r>
      <w:proofErr w:type="gramStart"/>
      <w:r w:rsidR="009E2710">
        <w:t xml:space="preserve">) </w:t>
      </w:r>
      <w:r w:rsidR="00DC78B6">
        <w:t xml:space="preserve"> </w:t>
      </w:r>
      <w:r w:rsidR="00DC78B6" w:rsidRPr="004B101F">
        <w:t>Further</w:t>
      </w:r>
      <w:proofErr w:type="gramEnd"/>
      <w:r w:rsidR="00DC78B6" w:rsidRPr="004B101F">
        <w:t>, a notice is not a subpoena</w:t>
      </w:r>
      <w:r w:rsidR="00DC78B6">
        <w:t xml:space="preserve">, but </w:t>
      </w:r>
      <w:r w:rsidR="00DC78B6" w:rsidRPr="004B101F">
        <w:t xml:space="preserve">an alternative mechanism to require a </w:t>
      </w:r>
      <w:r w:rsidR="00DC78B6" w:rsidRPr="00FA5F0E">
        <w:t>party’s</w:t>
      </w:r>
      <w:r w:rsidR="00DC78B6" w:rsidRPr="004B101F">
        <w:t xml:space="preserve"> attendance at a deposition.  It is to be served on the attorney if the party is represented.  </w:t>
      </w:r>
      <w:r w:rsidR="007D7741">
        <w:t>The</w:t>
      </w:r>
      <w:r w:rsidR="009E2710">
        <w:t xml:space="preserve"> </w:t>
      </w:r>
      <w:r w:rsidR="007D7741">
        <w:t xml:space="preserve">deposition </w:t>
      </w:r>
      <w:r w:rsidR="009E2710">
        <w:t xml:space="preserve">notice </w:t>
      </w:r>
      <w:r w:rsidR="007D7741">
        <w:t xml:space="preserve">Cantarutti served </w:t>
      </w:r>
      <w:r w:rsidR="009E2710">
        <w:t xml:space="preserve">is neither </w:t>
      </w:r>
      <w:r w:rsidR="00A57CA5">
        <w:t xml:space="preserve">legal process nor </w:t>
      </w:r>
      <w:r w:rsidR="00A01B01">
        <w:t xml:space="preserve">a </w:t>
      </w:r>
      <w:r w:rsidR="00A57CA5">
        <w:t xml:space="preserve">subpoena </w:t>
      </w:r>
      <w:r w:rsidR="009E2710">
        <w:t>and does not qualify as one of the exceptions to section 1015</w:t>
      </w:r>
      <w:r w:rsidR="00C27D11">
        <w:t>.</w:t>
      </w:r>
      <w:r w:rsidR="00915172" w:rsidRPr="00915172">
        <w:rPr>
          <w:rStyle w:val="FootnoteReference"/>
          <w:vertAlign w:val="superscript"/>
        </w:rPr>
        <w:footnoteReference w:id="11"/>
      </w:r>
    </w:p>
    <w:p w:rsidR="00915172" w:rsidRDefault="009E2710" w:rsidP="00FA5F0E">
      <w:pPr>
        <w:spacing w:line="480" w:lineRule="auto"/>
        <w:ind w:firstLine="720"/>
      </w:pPr>
      <w:r>
        <w:t xml:space="preserve">Finally, </w:t>
      </w:r>
      <w:r w:rsidR="00E92E9D">
        <w:t>Cantarutti</w:t>
      </w:r>
      <w:r>
        <w:t xml:space="preserve"> argues that he did not violate rule 2-100 </w:t>
      </w:r>
      <w:r w:rsidR="00DC78B6">
        <w:t xml:space="preserve">because he did not intend to induce a verbal </w:t>
      </w:r>
      <w:r>
        <w:t>exchange with Dawna</w:t>
      </w:r>
      <w:r w:rsidR="00A57CA5">
        <w:t xml:space="preserve"> when he served the deposition notice</w:t>
      </w:r>
      <w:r>
        <w:t xml:space="preserve">.  </w:t>
      </w:r>
      <w:r w:rsidR="00BF249A">
        <w:t xml:space="preserve">Regardless of his intent, </w:t>
      </w:r>
      <w:r>
        <w:t xml:space="preserve">the fact </w:t>
      </w:r>
      <w:r w:rsidR="00D82048">
        <w:t xml:space="preserve">of serving the </w:t>
      </w:r>
      <w:r w:rsidR="00FC1245">
        <w:t xml:space="preserve">deposition </w:t>
      </w:r>
      <w:r w:rsidR="00D82048">
        <w:t>notice</w:t>
      </w:r>
      <w:r w:rsidR="00FC1245">
        <w:t xml:space="preserve"> constituted</w:t>
      </w:r>
      <w:r w:rsidR="00D82048">
        <w:t xml:space="preserve"> a communication about the </w:t>
      </w:r>
      <w:r w:rsidR="00395952">
        <w:t>subject of the representation</w:t>
      </w:r>
      <w:r>
        <w:t xml:space="preserve"> (Dawn</w:t>
      </w:r>
      <w:r w:rsidR="005A2015">
        <w:t xml:space="preserve">a’s dissolution) </w:t>
      </w:r>
      <w:r w:rsidR="00D82048">
        <w:t>and</w:t>
      </w:r>
      <w:r w:rsidR="00A01B01">
        <w:t xml:space="preserve"> is</w:t>
      </w:r>
      <w:r w:rsidR="00D82048">
        <w:t xml:space="preserve"> </w:t>
      </w:r>
      <w:r w:rsidR="00A57CA5">
        <w:t xml:space="preserve">therefore </w:t>
      </w:r>
      <w:r w:rsidR="005A2015">
        <w:t>a violation of rule 2-100(A).</w:t>
      </w:r>
      <w:r>
        <w:t xml:space="preserve">  </w:t>
      </w:r>
      <w:r w:rsidR="00FC1245">
        <w:t xml:space="preserve">The notice </w:t>
      </w:r>
      <w:r w:rsidR="007D7741">
        <w:t>improperly</w:t>
      </w:r>
      <w:r w:rsidR="00915172">
        <w:t xml:space="preserve"> communicated information </w:t>
      </w:r>
      <w:r w:rsidR="007D7741">
        <w:t xml:space="preserve">directly </w:t>
      </w:r>
      <w:r w:rsidR="00915172">
        <w:t>to Dawna by setting</w:t>
      </w:r>
      <w:r w:rsidR="00FC1245">
        <w:t xml:space="preserve"> </w:t>
      </w:r>
      <w:r w:rsidR="00A01B01">
        <w:t xml:space="preserve">out </w:t>
      </w:r>
      <w:r w:rsidR="00FC1245">
        <w:t>the details of the deposition</w:t>
      </w:r>
      <w:r w:rsidR="00915172">
        <w:t>,</w:t>
      </w:r>
      <w:r w:rsidR="00FC1245">
        <w:t xml:space="preserve"> </w:t>
      </w:r>
      <w:r w:rsidR="00915172">
        <w:t>which</w:t>
      </w:r>
      <w:r w:rsidR="00A01B01">
        <w:t xml:space="preserve"> included </w:t>
      </w:r>
      <w:r w:rsidR="00FC1245">
        <w:t>the time, date, method of recording (by stenograph or vide</w:t>
      </w:r>
      <w:r w:rsidR="00D84622">
        <w:t>o</w:t>
      </w:r>
      <w:r w:rsidR="00915172">
        <w:t xml:space="preserve">tape) and location, </w:t>
      </w:r>
      <w:r w:rsidR="00FC1245">
        <w:t>listed as Cantarutti’s office.</w:t>
      </w:r>
      <w:r w:rsidR="00A01B01">
        <w:t xml:space="preserve">  </w:t>
      </w:r>
      <w:r w:rsidR="00915172">
        <w:t xml:space="preserve">(See </w:t>
      </w:r>
      <w:r w:rsidR="00915172" w:rsidRPr="00A473FF">
        <w:rPr>
          <w:i/>
        </w:rPr>
        <w:t>Shalant v. State Bar</w:t>
      </w:r>
      <w:r w:rsidR="00915172" w:rsidRPr="00A473FF">
        <w:t xml:space="preserve"> (1983) 33 Cal.3d 485, 489 [improper communication with represented party where attorney requests contact through third p</w:t>
      </w:r>
      <w:r w:rsidR="00915172">
        <w:t>erson</w:t>
      </w:r>
      <w:r w:rsidR="00915172" w:rsidRPr="00A473FF">
        <w:t xml:space="preserve"> for purpose of settlement discussions]; </w:t>
      </w:r>
      <w:r w:rsidR="00915172" w:rsidRPr="00A473FF">
        <w:rPr>
          <w:i/>
        </w:rPr>
        <w:t>In the Matter of Wyshak</w:t>
      </w:r>
      <w:r w:rsidR="00915172">
        <w:rPr>
          <w:i/>
        </w:rPr>
        <w:t>, supra,</w:t>
      </w:r>
      <w:r w:rsidR="00915172" w:rsidRPr="00A473FF">
        <w:t xml:space="preserve"> 4 Cal. State Bar Ct. Rptr. </w:t>
      </w:r>
      <w:r w:rsidR="00915172">
        <w:t xml:space="preserve">at pp. </w:t>
      </w:r>
      <w:r w:rsidR="00915172" w:rsidRPr="00A473FF">
        <w:t>78-79 [improper communication with represented party where attorney advises party to attend court hearing or risk contempt of court].</w:t>
      </w:r>
      <w:r w:rsidR="00915172">
        <w:t>)</w:t>
      </w:r>
      <w:r w:rsidR="00915172" w:rsidRPr="00A473FF">
        <w:t xml:space="preserve"> </w:t>
      </w:r>
    </w:p>
    <w:p w:rsidR="00CB404D" w:rsidRDefault="005A2015" w:rsidP="00FA5F0E">
      <w:pPr>
        <w:spacing w:line="480" w:lineRule="auto"/>
        <w:ind w:firstLine="720"/>
      </w:pPr>
      <w:r>
        <w:t xml:space="preserve">When </w:t>
      </w:r>
      <w:r w:rsidR="00E92E9D">
        <w:t>Cantarutti</w:t>
      </w:r>
      <w:r>
        <w:t xml:space="preserve"> personally served Dawna</w:t>
      </w:r>
      <w:r w:rsidR="00A57CA5">
        <w:t>,</w:t>
      </w:r>
      <w:r>
        <w:t xml:space="preserve"> he engaged in precisely</w:t>
      </w:r>
      <w:r w:rsidR="00A57CA5">
        <w:t xml:space="preserve"> the</w:t>
      </w:r>
      <w:r>
        <w:t xml:space="preserve"> </w:t>
      </w:r>
      <w:r w:rsidR="00CB404D">
        <w:t xml:space="preserve">type of unauthorized contact between opposing counsel and a represented party that the rule is designed to prevent.  </w:t>
      </w:r>
      <w:r w:rsidR="00C81262">
        <w:t>Even if the contact</w:t>
      </w:r>
      <w:r w:rsidR="00CB404D">
        <w:t xml:space="preserve"> </w:t>
      </w:r>
      <w:r w:rsidR="00C81262">
        <w:t>w</w:t>
      </w:r>
      <w:r w:rsidR="00A57CA5">
        <w:t>ere</w:t>
      </w:r>
      <w:r w:rsidR="00C81262">
        <w:t xml:space="preserve"> well-meaning, it was certainly misguided</w:t>
      </w:r>
      <w:r>
        <w:t xml:space="preserve">.  </w:t>
      </w:r>
      <w:r w:rsidR="00D82048">
        <w:t xml:space="preserve"> Dawna</w:t>
      </w:r>
      <w:r w:rsidR="00A57CA5">
        <w:t xml:space="preserve"> </w:t>
      </w:r>
      <w:r w:rsidR="00A01B01">
        <w:t xml:space="preserve">was forced to </w:t>
      </w:r>
      <w:r w:rsidR="00D82048">
        <w:t>deal personally with Cantarutti in his role as opposing counsel</w:t>
      </w:r>
      <w:r w:rsidR="00A01B01">
        <w:t>.  His</w:t>
      </w:r>
      <w:r w:rsidR="00A57CA5">
        <w:t xml:space="preserve"> communication </w:t>
      </w:r>
      <w:r w:rsidR="00A01B01">
        <w:lastRenderedPageBreak/>
        <w:t xml:space="preserve">also </w:t>
      </w:r>
      <w:r>
        <w:t>interfere</w:t>
      </w:r>
      <w:r w:rsidR="00D82048">
        <w:t>d</w:t>
      </w:r>
      <w:r>
        <w:t xml:space="preserve"> with the attorney-client relationship </w:t>
      </w:r>
      <w:r w:rsidR="00D82048">
        <w:t>between Dawna and Major</w:t>
      </w:r>
      <w:r w:rsidR="00A01B01">
        <w:t xml:space="preserve"> by depriving Major the opportunity to present and explain the deposition notice to Dawna.</w:t>
      </w:r>
      <w:r>
        <w:t xml:space="preserve">  </w:t>
      </w:r>
      <w:r w:rsidR="007464D5">
        <w:t xml:space="preserve">Moreover, </w:t>
      </w:r>
      <w:r w:rsidR="00D82048">
        <w:t xml:space="preserve">Cantarutti’s personal contact with Dawna </w:t>
      </w:r>
      <w:r w:rsidR="007D7741">
        <w:t xml:space="preserve">was upsetting to her, </w:t>
      </w:r>
      <w:r w:rsidR="00D82048">
        <w:t xml:space="preserve">created the </w:t>
      </w:r>
      <w:r>
        <w:t xml:space="preserve">potential for further misconduct </w:t>
      </w:r>
      <w:r w:rsidR="00D82048">
        <w:t xml:space="preserve">and set the stage for </w:t>
      </w:r>
      <w:r w:rsidR="00C81262">
        <w:t xml:space="preserve">the State Bar’s allegations that </w:t>
      </w:r>
      <w:r>
        <w:t xml:space="preserve">Cantarutti </w:t>
      </w:r>
      <w:r w:rsidR="00C81262">
        <w:t xml:space="preserve">improperly questioned Dawna.  </w:t>
      </w:r>
    </w:p>
    <w:p w:rsidR="00C27D11" w:rsidRDefault="00D215CA" w:rsidP="00915172">
      <w:pPr>
        <w:spacing w:line="480" w:lineRule="auto"/>
        <w:ind w:firstLine="720"/>
      </w:pPr>
      <w:r>
        <w:t xml:space="preserve">We have carefully </w:t>
      </w:r>
      <w:r w:rsidR="009E2710">
        <w:t xml:space="preserve">considered </w:t>
      </w:r>
      <w:r w:rsidR="00E92E9D">
        <w:t>Cantarutti</w:t>
      </w:r>
      <w:r w:rsidR="009E2710">
        <w:t>’s arguments</w:t>
      </w:r>
      <w:r w:rsidR="00C81262">
        <w:t xml:space="preserve"> that he had authority to personally serve Dawna</w:t>
      </w:r>
      <w:r>
        <w:t>.  Having deemed each to be without legal merit, we conclude that Cantarutti</w:t>
      </w:r>
      <w:r w:rsidR="009E2710">
        <w:t xml:space="preserve"> violated rule 2-100(A) by personally serving the </w:t>
      </w:r>
      <w:r w:rsidR="00C81262">
        <w:t xml:space="preserve">deposition </w:t>
      </w:r>
      <w:r w:rsidR="009E2710">
        <w:t>notice on Dawna when he clearly knew she was represented by counsel.</w:t>
      </w:r>
    </w:p>
    <w:p w:rsidR="009E2710" w:rsidRPr="007B3C93" w:rsidRDefault="009E2710" w:rsidP="00E25720">
      <w:pPr>
        <w:spacing w:line="480" w:lineRule="auto"/>
        <w:rPr>
          <w:b/>
        </w:rPr>
      </w:pPr>
      <w:r>
        <w:rPr>
          <w:b/>
        </w:rPr>
        <w:t>B.</w:t>
      </w:r>
      <w:r w:rsidR="00A57CA5">
        <w:rPr>
          <w:b/>
        </w:rPr>
        <w:tab/>
      </w:r>
      <w:r>
        <w:rPr>
          <w:b/>
        </w:rPr>
        <w:t xml:space="preserve">The Verbal Exchange </w:t>
      </w:r>
      <w:proofErr w:type="gramStart"/>
      <w:r>
        <w:rPr>
          <w:b/>
        </w:rPr>
        <w:t>Between</w:t>
      </w:r>
      <w:proofErr w:type="gramEnd"/>
      <w:r>
        <w:rPr>
          <w:b/>
        </w:rPr>
        <w:t xml:space="preserve"> Dawna and </w:t>
      </w:r>
      <w:r w:rsidR="00E92E9D">
        <w:rPr>
          <w:b/>
        </w:rPr>
        <w:t>Cantarutti</w:t>
      </w:r>
      <w:r w:rsidR="007464D5">
        <w:rPr>
          <w:b/>
        </w:rPr>
        <w:t xml:space="preserve"> (Rule 2-100(A))</w:t>
      </w:r>
    </w:p>
    <w:p w:rsidR="009E2710" w:rsidRDefault="009E2710" w:rsidP="001D7EC0">
      <w:pPr>
        <w:spacing w:line="480" w:lineRule="auto"/>
        <w:ind w:firstLine="720"/>
      </w:pPr>
      <w:r>
        <w:t xml:space="preserve">The hearing judge found that </w:t>
      </w:r>
      <w:r w:rsidR="00E92E9D">
        <w:t>Cantarutti</w:t>
      </w:r>
      <w:r>
        <w:t xml:space="preserve"> did not ask Dawna improper questions when he served her with the </w:t>
      </w:r>
      <w:r w:rsidR="00D215CA">
        <w:t xml:space="preserve">deposition </w:t>
      </w:r>
      <w:r>
        <w:t xml:space="preserve">notice.  The State Bar alleges that </w:t>
      </w:r>
      <w:r w:rsidR="00E92E9D">
        <w:t>Cantarutti</w:t>
      </w:r>
      <w:r>
        <w:t xml:space="preserve"> asked Dawna for the address and telephone number of her fiancé and advised her about </w:t>
      </w:r>
      <w:r w:rsidR="007464D5">
        <w:t xml:space="preserve">certain details in </w:t>
      </w:r>
      <w:r>
        <w:t xml:space="preserve">the notice.  Since </w:t>
      </w:r>
      <w:r w:rsidR="00E92E9D">
        <w:t>Cantarutti</w:t>
      </w:r>
      <w:r>
        <w:t xml:space="preserve"> and Dawna testified to different versions of the</w:t>
      </w:r>
      <w:r w:rsidR="00A57CA5">
        <w:t>ir</w:t>
      </w:r>
      <w:r>
        <w:t xml:space="preserve"> encounter, the trial court correctly classified the issue as a question of credibility.  </w:t>
      </w:r>
    </w:p>
    <w:p w:rsidR="009E2710" w:rsidRDefault="009E2710" w:rsidP="00ED7239">
      <w:pPr>
        <w:spacing w:line="480" w:lineRule="auto"/>
        <w:ind w:firstLine="720"/>
      </w:pPr>
      <w:r>
        <w:t xml:space="preserve">The hearing judge expressed concern with Dawna’s credibility because her recollection of the conversation with </w:t>
      </w:r>
      <w:r w:rsidR="00E92E9D">
        <w:t>Cantarutti</w:t>
      </w:r>
      <w:r>
        <w:t xml:space="preserve"> varied over time.  </w:t>
      </w:r>
      <w:r w:rsidR="00FC1245">
        <w:t>Dawna’s counsel</w:t>
      </w:r>
      <w:r>
        <w:t xml:space="preserve"> testified that Dawna called her after </w:t>
      </w:r>
      <w:r w:rsidR="00E92E9D">
        <w:t>Cantarutti</w:t>
      </w:r>
      <w:r>
        <w:t xml:space="preserve"> served the </w:t>
      </w:r>
      <w:r w:rsidR="007464D5">
        <w:t xml:space="preserve">deposition </w:t>
      </w:r>
      <w:r>
        <w:t xml:space="preserve">notice, and reported that he had asked Dawna </w:t>
      </w:r>
      <w:r w:rsidR="00A7244A">
        <w:t xml:space="preserve">to provide </w:t>
      </w:r>
      <w:r>
        <w:t xml:space="preserve">her fiancé’s name, address and phone number, what school her daughter planned to attend and where Dawna intended to work if she moved.  However, during </w:t>
      </w:r>
      <w:r w:rsidR="00BF6AA8">
        <w:t>the deposition</w:t>
      </w:r>
      <w:r>
        <w:t xml:space="preserve">, </w:t>
      </w:r>
      <w:r w:rsidR="00BF6AA8">
        <w:t>Dawna</w:t>
      </w:r>
      <w:r>
        <w:t xml:space="preserve"> testified that </w:t>
      </w:r>
      <w:r w:rsidR="00E92E9D">
        <w:t>Cantarutti</w:t>
      </w:r>
      <w:r>
        <w:t xml:space="preserve"> was in her office “long enough for at least one question from [</w:t>
      </w:r>
      <w:r w:rsidR="00E92E9D">
        <w:t>Cantarutti</w:t>
      </w:r>
      <w:r>
        <w:t xml:space="preserve">].”  The State Bar investigator testified that </w:t>
      </w:r>
      <w:r w:rsidR="00BF6AA8">
        <w:t xml:space="preserve">Dawna </w:t>
      </w:r>
      <w:r w:rsidR="00915172">
        <w:t>claimed</w:t>
      </w:r>
      <w:r w:rsidR="00BF6AA8">
        <w:t xml:space="preserve"> that </w:t>
      </w:r>
      <w:r w:rsidR="00E92E9D">
        <w:t>Cantarutti</w:t>
      </w:r>
      <w:r>
        <w:t xml:space="preserve"> </w:t>
      </w:r>
      <w:r w:rsidR="00E8149F">
        <w:t xml:space="preserve">only </w:t>
      </w:r>
      <w:r>
        <w:t xml:space="preserve">asked her for Caulfield’s </w:t>
      </w:r>
      <w:proofErr w:type="gramStart"/>
      <w:r>
        <w:t>address</w:t>
      </w:r>
      <w:proofErr w:type="gramEnd"/>
      <w:r>
        <w:t xml:space="preserve"> and phone number.  Finally, at trial, Dawna testified that </w:t>
      </w:r>
      <w:r w:rsidR="00E92E9D">
        <w:t>Cantarutti</w:t>
      </w:r>
      <w:r>
        <w:t xml:space="preserve"> asked her for the name, address and phone number of her fiancé.</w:t>
      </w:r>
    </w:p>
    <w:p w:rsidR="009E2710" w:rsidRPr="00B3380E" w:rsidRDefault="00BF6AA8" w:rsidP="00395952">
      <w:pPr>
        <w:spacing w:line="480" w:lineRule="auto"/>
        <w:ind w:firstLine="720"/>
      </w:pPr>
      <w:r>
        <w:lastRenderedPageBreak/>
        <w:t xml:space="preserve">In contrast with Dawna’s various versions of the encounter, </w:t>
      </w:r>
      <w:r w:rsidR="009E2710">
        <w:t xml:space="preserve">the hearing judge found </w:t>
      </w:r>
      <w:r w:rsidR="00E92E9D">
        <w:t>Cantarutti</w:t>
      </w:r>
      <w:r w:rsidR="009E2710">
        <w:t xml:space="preserve">’s recollection of the conversation to be “generally credible.”  We </w:t>
      </w:r>
      <w:r>
        <w:t xml:space="preserve">defer </w:t>
      </w:r>
      <w:r w:rsidR="009E2710">
        <w:t xml:space="preserve">to the hearing judge’s </w:t>
      </w:r>
      <w:r w:rsidR="00A7244A">
        <w:t>well-</w:t>
      </w:r>
      <w:r w:rsidR="009E2710">
        <w:t>articulate</w:t>
      </w:r>
      <w:r w:rsidR="00A7244A">
        <w:t>d</w:t>
      </w:r>
      <w:r w:rsidR="009E2710">
        <w:t xml:space="preserve"> findings of fact and corroborative evidence resolving the witness credibility issue in favor of </w:t>
      </w:r>
      <w:r w:rsidR="00E92E9D">
        <w:t>Cantarutti</w:t>
      </w:r>
      <w:r w:rsidR="009E2710">
        <w:t>.</w:t>
      </w:r>
      <w:r w:rsidR="00E8149F">
        <w:t xml:space="preserve"> </w:t>
      </w:r>
      <w:r w:rsidR="009E2710">
        <w:t xml:space="preserve"> </w:t>
      </w:r>
      <w:proofErr w:type="gramStart"/>
      <w:r w:rsidR="009E2710">
        <w:t xml:space="preserve">(See Rules Proc. of State Bar, rule 305(a); </w:t>
      </w:r>
      <w:r w:rsidR="009E2710" w:rsidRPr="00275F98">
        <w:rPr>
          <w:i/>
        </w:rPr>
        <w:t>Connor v. State Bar</w:t>
      </w:r>
      <w:r w:rsidR="009E2710">
        <w:t xml:space="preserve"> (1990) 50 Cal.3d 1047, 1055.)</w:t>
      </w:r>
      <w:proofErr w:type="gramEnd"/>
      <w:r w:rsidR="009E2710">
        <w:t xml:space="preserve"> </w:t>
      </w:r>
      <w:r w:rsidR="00921824">
        <w:t xml:space="preserve"> Based on the great weight </w:t>
      </w:r>
      <w:r w:rsidR="007464D5">
        <w:t xml:space="preserve">we assign to the </w:t>
      </w:r>
      <w:r w:rsidR="00E8149F">
        <w:t xml:space="preserve">hearing judge’s </w:t>
      </w:r>
      <w:r w:rsidR="007464D5">
        <w:t>credibility determination</w:t>
      </w:r>
      <w:r w:rsidR="00921824">
        <w:t xml:space="preserve"> and</w:t>
      </w:r>
      <w:r w:rsidR="00E8149F">
        <w:t xml:space="preserve"> on</w:t>
      </w:r>
      <w:r w:rsidR="00921824">
        <w:t xml:space="preserve"> our own reading of the record, </w:t>
      </w:r>
      <w:r>
        <w:t xml:space="preserve">we find the State Bar failed to prove </w:t>
      </w:r>
      <w:r w:rsidR="00921824">
        <w:t xml:space="preserve">by clear and convincing </w:t>
      </w:r>
      <w:r w:rsidR="00E8149F">
        <w:t>evidence</w:t>
      </w:r>
      <w:r w:rsidR="00921824">
        <w:t xml:space="preserve"> </w:t>
      </w:r>
      <w:r>
        <w:t>that Cantarutti asked Dawna any questions when he served the deposition notice.</w:t>
      </w:r>
      <w:r w:rsidR="009E2710" w:rsidRPr="00E25720">
        <w:rPr>
          <w:rStyle w:val="FootnoteReference"/>
          <w:vertAlign w:val="superscript"/>
        </w:rPr>
        <w:footnoteReference w:id="12"/>
      </w:r>
    </w:p>
    <w:p w:rsidR="009E2710" w:rsidRPr="00FB1189" w:rsidRDefault="009E2710" w:rsidP="00FB1189">
      <w:pPr>
        <w:spacing w:line="480" w:lineRule="auto"/>
        <w:jc w:val="center"/>
        <w:rPr>
          <w:b/>
        </w:rPr>
      </w:pPr>
      <w:r w:rsidRPr="00FB1189">
        <w:rPr>
          <w:b/>
        </w:rPr>
        <w:t>I</w:t>
      </w:r>
      <w:r>
        <w:rPr>
          <w:b/>
        </w:rPr>
        <w:t>V</w:t>
      </w:r>
      <w:proofErr w:type="gramStart"/>
      <w:r w:rsidRPr="00FB1189">
        <w:rPr>
          <w:b/>
        </w:rPr>
        <w:t>.  DISCIPLINE</w:t>
      </w:r>
      <w:proofErr w:type="gramEnd"/>
    </w:p>
    <w:p w:rsidR="009E2710" w:rsidRDefault="009E2710" w:rsidP="00FB1189">
      <w:pPr>
        <w:spacing w:line="480" w:lineRule="auto"/>
        <w:ind w:firstLine="720"/>
      </w:pPr>
      <w:r>
        <w:t xml:space="preserve">We determine the appropriate discipline in light of all relevant circumstances, including mitigating and aggravating circumstances.  </w:t>
      </w:r>
      <w:proofErr w:type="gramStart"/>
      <w:r>
        <w:t>(</w:t>
      </w:r>
      <w:r>
        <w:rPr>
          <w:i/>
          <w:iCs/>
        </w:rPr>
        <w:t>Gary v. State Bar</w:t>
      </w:r>
      <w:r>
        <w:t xml:space="preserve"> (1988) 44 Cal.3d 820, 828.)</w:t>
      </w:r>
      <w:proofErr w:type="gramEnd"/>
      <w:r>
        <w:t xml:space="preserve">  </w:t>
      </w:r>
      <w:r w:rsidR="00E92E9D">
        <w:t>Cantarutti</w:t>
      </w:r>
      <w:r>
        <w:t xml:space="preserve"> must establish mitigation by clear and convincing evidence (</w:t>
      </w:r>
      <w:r w:rsidRPr="005C7C09">
        <w:t xml:space="preserve">Rules Proc. of State Bar, tit. </w:t>
      </w:r>
      <w:proofErr w:type="gramStart"/>
      <w:r w:rsidRPr="005C7C09">
        <w:t>IV, Stds. for Atty. Sanctions for Prof. Misconduct, std. 1.2(e)</w:t>
      </w:r>
      <w:r w:rsidR="00D84622">
        <w:t>),</w:t>
      </w:r>
      <w:r w:rsidRPr="005C7C09">
        <w:rPr>
          <w:rStyle w:val="FootnoteReference"/>
          <w:vertAlign w:val="superscript"/>
        </w:rPr>
        <w:footnoteReference w:id="13"/>
      </w:r>
      <w:r>
        <w:t xml:space="preserve"> while the State Bar has the same burden of proof for aggravating circumstances.</w:t>
      </w:r>
      <w:proofErr w:type="gramEnd"/>
      <w:r>
        <w:t xml:space="preserve">  </w:t>
      </w:r>
      <w:proofErr w:type="gramStart"/>
      <w:r>
        <w:t>(Std. 1.2(b).)</w:t>
      </w:r>
      <w:proofErr w:type="gramEnd"/>
    </w:p>
    <w:p w:rsidR="009E2710" w:rsidRPr="00FB1189" w:rsidRDefault="009E2710" w:rsidP="00FB1189">
      <w:pPr>
        <w:spacing w:line="480" w:lineRule="auto"/>
        <w:rPr>
          <w:b/>
        </w:rPr>
      </w:pPr>
      <w:r w:rsidRPr="00FB1189">
        <w:rPr>
          <w:b/>
        </w:rPr>
        <w:t>A.</w:t>
      </w:r>
      <w:r w:rsidR="00E8149F">
        <w:rPr>
          <w:b/>
        </w:rPr>
        <w:tab/>
      </w:r>
      <w:r w:rsidRPr="00FB1189">
        <w:rPr>
          <w:b/>
        </w:rPr>
        <w:t>Mitigation</w:t>
      </w:r>
    </w:p>
    <w:p w:rsidR="009E2710" w:rsidRDefault="009E2710" w:rsidP="0025628D">
      <w:pPr>
        <w:spacing w:line="480" w:lineRule="auto"/>
      </w:pPr>
      <w:r>
        <w:tab/>
        <w:t xml:space="preserve">In mitigation, the hearing judge found that </w:t>
      </w:r>
      <w:r w:rsidR="00E92E9D">
        <w:t>Cantarutti</w:t>
      </w:r>
      <w:r>
        <w:t>’s misconduct did not cause harm to Dawna.  The State Bar challenges this finding.  Standard 1.2(e</w:t>
      </w:r>
      <w:proofErr w:type="gramStart"/>
      <w:r>
        <w:t>)(</w:t>
      </w:r>
      <w:proofErr w:type="gramEnd"/>
      <w:r>
        <w:t xml:space="preserve">iii) provides for mitigation if there is a lack of harm to the “person who is the object of the misconduct.”  </w:t>
      </w:r>
      <w:r w:rsidR="00E92E9D">
        <w:t>Cantarutti</w:t>
      </w:r>
      <w:r>
        <w:t xml:space="preserve"> testified that he did not</w:t>
      </w:r>
      <w:r w:rsidR="006D4746">
        <w:t xml:space="preserve"> observe</w:t>
      </w:r>
      <w:r>
        <w:t xml:space="preserve"> </w:t>
      </w:r>
      <w:r w:rsidR="006D4746">
        <w:t>whether</w:t>
      </w:r>
      <w:r>
        <w:t xml:space="preserve"> Dawna was upset after he served her with the notice.  However, according to Major, Dawna was “very upset” when she called and “might have even been </w:t>
      </w:r>
      <w:r>
        <w:lastRenderedPageBreak/>
        <w:t>crying.”  Franchini and Gold also testified that Dawna was upset after the encounter</w:t>
      </w:r>
      <w:r w:rsidR="007D7741">
        <w:t>.</w:t>
      </w:r>
      <w:r>
        <w:t xml:space="preserve">  While </w:t>
      </w:r>
      <w:r w:rsidR="00E92E9D">
        <w:t>Cantarutti</w:t>
      </w:r>
      <w:r>
        <w:t xml:space="preserve">’s misconduct </w:t>
      </w:r>
      <w:r w:rsidR="001D5FF0">
        <w:t>did not rise to the level of causing</w:t>
      </w:r>
      <w:r>
        <w:t xml:space="preserve"> “legally cognizable emotional harm”</w:t>
      </w:r>
      <w:r w:rsidR="001D5FF0">
        <w:t xml:space="preserve"> for aggravation</w:t>
      </w:r>
      <w:r w:rsidR="00E8149F">
        <w:t>,</w:t>
      </w:r>
      <w:r>
        <w:t xml:space="preserve"> </w:t>
      </w:r>
      <w:r w:rsidR="001D5FF0">
        <w:t xml:space="preserve">the contact </w:t>
      </w:r>
      <w:r>
        <w:t xml:space="preserve">significantly distressed </w:t>
      </w:r>
      <w:r w:rsidR="001D5FF0">
        <w:t>Dawna</w:t>
      </w:r>
      <w:r w:rsidR="007464D5">
        <w:t xml:space="preserve">. </w:t>
      </w:r>
      <w:r w:rsidR="00395952">
        <w:t xml:space="preserve"> </w:t>
      </w:r>
      <w:proofErr w:type="gramStart"/>
      <w:r w:rsidR="00395952">
        <w:t>(</w:t>
      </w:r>
      <w:r w:rsidR="00395952" w:rsidRPr="00A473FF">
        <w:t xml:space="preserve">See </w:t>
      </w:r>
      <w:r w:rsidR="00395952" w:rsidRPr="00A473FF">
        <w:rPr>
          <w:i/>
        </w:rPr>
        <w:t>Calvert v. State Bar</w:t>
      </w:r>
      <w:r w:rsidR="00395952" w:rsidRPr="00A473FF">
        <w:t xml:space="preserve"> (1991) 54 Cal.3d 765, 784-785 [legally cogniza</w:t>
      </w:r>
      <w:r w:rsidR="00ED7239">
        <w:t>ble emotional harm not found in</w:t>
      </w:r>
      <w:r w:rsidR="00395952" w:rsidRPr="00A473FF">
        <w:t xml:space="preserve"> aggravation where no evidence of therapy, counseling or unusual symptoms of stress].</w:t>
      </w:r>
      <w:r w:rsidR="00395952">
        <w:t>)</w:t>
      </w:r>
      <w:proofErr w:type="gramEnd"/>
      <w:r w:rsidR="00395952">
        <w:t xml:space="preserve">  </w:t>
      </w:r>
      <w:r w:rsidR="007464D5">
        <w:t xml:space="preserve">Therefore, because </w:t>
      </w:r>
      <w:r w:rsidR="00E92E9D">
        <w:t>Cantarutti</w:t>
      </w:r>
      <w:r>
        <w:t xml:space="preserve"> failed to prove by clear and convincing evidence </w:t>
      </w:r>
      <w:r w:rsidR="001D5FF0">
        <w:t xml:space="preserve">that </w:t>
      </w:r>
      <w:r w:rsidR="007464D5">
        <w:t>he</w:t>
      </w:r>
      <w:r w:rsidR="001D5FF0">
        <w:t xml:space="preserve"> did not cause </w:t>
      </w:r>
      <w:r w:rsidR="00395952">
        <w:t xml:space="preserve">emotional </w:t>
      </w:r>
      <w:r w:rsidR="001D5FF0">
        <w:t>harm to Dawna</w:t>
      </w:r>
      <w:r w:rsidR="00395952">
        <w:t>, we assign no mitigation credit for lack of harm</w:t>
      </w:r>
      <w:r w:rsidR="001D5FF0">
        <w:t>.</w:t>
      </w:r>
    </w:p>
    <w:p w:rsidR="00E344DA" w:rsidRDefault="009E2710" w:rsidP="0025628D">
      <w:pPr>
        <w:spacing w:line="480" w:lineRule="auto"/>
      </w:pPr>
      <w:r>
        <w:tab/>
        <w:t xml:space="preserve">The hearing judge found in mitigation that </w:t>
      </w:r>
      <w:r w:rsidR="00E92E9D">
        <w:t>Cantarutti</w:t>
      </w:r>
      <w:r>
        <w:t xml:space="preserve"> had a good faith belief he was authorized to personally serve Dawna with the notice. </w:t>
      </w:r>
      <w:r w:rsidR="00E8149F">
        <w:t xml:space="preserve"> </w:t>
      </w:r>
      <w:r>
        <w:t>(Std. 1.2(e</w:t>
      </w:r>
      <w:proofErr w:type="gramStart"/>
      <w:r>
        <w:t>)(</w:t>
      </w:r>
      <w:proofErr w:type="gramEnd"/>
      <w:r>
        <w:t xml:space="preserve">ii).)  The State Bar </w:t>
      </w:r>
      <w:r w:rsidR="007464D5">
        <w:t xml:space="preserve">also </w:t>
      </w:r>
      <w:r>
        <w:t xml:space="preserve">challenges this finding.  To establish good faith as a mitigating circumstance, an attorney must prove that his or her beliefs were both honestly held </w:t>
      </w:r>
      <w:r w:rsidRPr="00A37F63">
        <w:rPr>
          <w:i/>
        </w:rPr>
        <w:t>and</w:t>
      </w:r>
      <w:r>
        <w:t xml:space="preserve"> reasonable.  </w:t>
      </w:r>
      <w:proofErr w:type="gramStart"/>
      <w:r>
        <w:t>(</w:t>
      </w:r>
      <w:r>
        <w:rPr>
          <w:i/>
        </w:rPr>
        <w:t>In the Matter of Rose</w:t>
      </w:r>
      <w:r>
        <w:t xml:space="preserve"> (Review Dept. 1997) 3 Cal. State Bar Ct. Rptr. 646, 653.)</w:t>
      </w:r>
      <w:proofErr w:type="gramEnd"/>
      <w:r>
        <w:t xml:space="preserve">  While </w:t>
      </w:r>
      <w:r w:rsidR="00E92E9D">
        <w:t>Cantarutti</w:t>
      </w:r>
      <w:r>
        <w:t xml:space="preserve"> may have had an honest belief that he was authorized to serve Dawna with the notice, that belief was not </w:t>
      </w:r>
      <w:proofErr w:type="gramStart"/>
      <w:r>
        <w:t>reasonable.</w:t>
      </w:r>
      <w:proofErr w:type="gramEnd"/>
      <w:r>
        <w:t xml:space="preserve">  He did no legal research to confirm his opinion nor did he consult with any other source prior to serving the notice.</w:t>
      </w:r>
      <w:r w:rsidR="005956AA">
        <w:t xml:space="preserve"> </w:t>
      </w:r>
      <w:r w:rsidR="00915172">
        <w:t xml:space="preserve"> (See </w:t>
      </w:r>
      <w:r w:rsidR="00915172">
        <w:rPr>
          <w:i/>
        </w:rPr>
        <w:t>In the Matter of Rose</w:t>
      </w:r>
      <w:r w:rsidR="00915172">
        <w:t xml:space="preserve"> (Review Dept. 1994) 3 Cal. State Bar Ct. Rptr. 192, 202 [no mitigation credit for attorney’s good faith belief that probation reports in discipline case were due only during actual suspension where attorney did not research issue, seek clarification from State Bar or Supreme Court or consult anyone about his </w:t>
      </w:r>
      <w:r w:rsidR="00F9488E">
        <w:t>i</w:t>
      </w:r>
      <w:r w:rsidR="00915172">
        <w:t>nterpretation</w:t>
      </w:r>
      <w:r w:rsidR="00E344DA">
        <w:t>]</w:t>
      </w:r>
      <w:r w:rsidR="00915172">
        <w:t>.)</w:t>
      </w:r>
      <w:r w:rsidR="00F9488E">
        <w:t xml:space="preserve">  </w:t>
      </w:r>
      <w:r>
        <w:t xml:space="preserve">We find </w:t>
      </w:r>
      <w:r w:rsidR="007E40C3">
        <w:t xml:space="preserve">that </w:t>
      </w:r>
      <w:r w:rsidR="00E92E9D">
        <w:t>Cantarutti</w:t>
      </w:r>
      <w:r>
        <w:t xml:space="preserve"> failed to establish clear and convincing evidence that he acted in good faith.  </w:t>
      </w:r>
    </w:p>
    <w:p w:rsidR="009E2710" w:rsidRPr="00FB1189" w:rsidRDefault="009E2710" w:rsidP="0025628D">
      <w:pPr>
        <w:spacing w:line="480" w:lineRule="auto"/>
        <w:rPr>
          <w:b/>
        </w:rPr>
      </w:pPr>
      <w:r w:rsidRPr="00FB1189">
        <w:rPr>
          <w:b/>
        </w:rPr>
        <w:t>B.</w:t>
      </w:r>
      <w:r w:rsidR="007E40C3">
        <w:rPr>
          <w:b/>
        </w:rPr>
        <w:tab/>
      </w:r>
      <w:r>
        <w:rPr>
          <w:b/>
        </w:rPr>
        <w:t>Aggravation</w:t>
      </w:r>
    </w:p>
    <w:p w:rsidR="00C27D11" w:rsidRDefault="009E2710" w:rsidP="0025628D">
      <w:pPr>
        <w:spacing w:line="480" w:lineRule="auto"/>
      </w:pPr>
      <w:r>
        <w:tab/>
        <w:t xml:space="preserve">The parties do not dispute the hearing judge’s aggravation finding that </w:t>
      </w:r>
      <w:r w:rsidR="00E92E9D">
        <w:t>Cantarutti</w:t>
      </w:r>
      <w:r>
        <w:t xml:space="preserve"> has been disciplined on two prior occasions. (Std. 1.2(b</w:t>
      </w:r>
      <w:proofErr w:type="gramStart"/>
      <w:r>
        <w:t>)(</w:t>
      </w:r>
      <w:proofErr w:type="gramEnd"/>
      <w:r>
        <w:t xml:space="preserve">i).)  We adopt this finding and detail </w:t>
      </w:r>
      <w:r w:rsidR="00E92E9D">
        <w:t>Cantarutti</w:t>
      </w:r>
      <w:r>
        <w:t xml:space="preserve">’s disciplinary record.  In his first discipline, on May 19, 1999, the Supreme Court </w:t>
      </w:r>
      <w:r>
        <w:lastRenderedPageBreak/>
        <w:t xml:space="preserve">suspended </w:t>
      </w:r>
      <w:r w:rsidR="00E92E9D">
        <w:t>Cantarutti</w:t>
      </w:r>
      <w:r>
        <w:t xml:space="preserve"> from the practice of law for two years, stayed, and placed him on probation on condition of a six-month suspension.  He had been found culpable of failing to promptly </w:t>
      </w:r>
      <w:r w:rsidR="001E3072">
        <w:t>deliver</w:t>
      </w:r>
      <w:r>
        <w:t xml:space="preserve"> settlement funds to a client, charging an unconscionable fee, failing to promptly return a client’s file, and filing a meritless suit in a client’s name for </w:t>
      </w:r>
      <w:r w:rsidR="00E92E9D">
        <w:t>Cantarutti</w:t>
      </w:r>
      <w:r>
        <w:t xml:space="preserve">’s own pecuniary interest.  In addition, the hearing judge found uncharged misconduct in aggravation because </w:t>
      </w:r>
      <w:r w:rsidR="00E92E9D">
        <w:t>Cantarutti</w:t>
      </w:r>
      <w:r>
        <w:t xml:space="preserve"> </w:t>
      </w:r>
    </w:p>
    <w:p w:rsidR="00395952" w:rsidRDefault="009E2710" w:rsidP="0025628D">
      <w:pPr>
        <w:spacing w:line="480" w:lineRule="auto"/>
      </w:pPr>
      <w:proofErr w:type="gramStart"/>
      <w:r>
        <w:t>sent</w:t>
      </w:r>
      <w:proofErr w:type="gramEnd"/>
      <w:r>
        <w:t xml:space="preserve"> his former client a </w:t>
      </w:r>
      <w:r w:rsidR="00FC1245">
        <w:t xml:space="preserve">misleading </w:t>
      </w:r>
      <w:r>
        <w:t xml:space="preserve">settlement demand when he knew the client was represented by </w:t>
      </w:r>
      <w:r w:rsidR="00FC1245">
        <w:t xml:space="preserve">new </w:t>
      </w:r>
      <w:r>
        <w:t xml:space="preserve">counsel, in violation of rule 2-100. </w:t>
      </w:r>
    </w:p>
    <w:p w:rsidR="009E2710" w:rsidRDefault="009E2710" w:rsidP="0025628D">
      <w:pPr>
        <w:spacing w:line="480" w:lineRule="auto"/>
      </w:pPr>
      <w:r>
        <w:tab/>
        <w:t xml:space="preserve">In </w:t>
      </w:r>
      <w:r w:rsidR="00E92E9D">
        <w:t>Cantarutti</w:t>
      </w:r>
      <w:r>
        <w:t>’s second discipline, on December 5, 2003, the Supreme Court suspended him from the practice of law for two years, stayed, and placed him on probation on condition of a one-year actual suspension.  He had been found culpable of two counts of failing to promptly refund unearned fees</w:t>
      </w:r>
      <w:r w:rsidR="001E3072">
        <w:t xml:space="preserve"> in violation of rule 3-700(D)</w:t>
      </w:r>
      <w:r w:rsidR="00ED7239">
        <w:t>(2)</w:t>
      </w:r>
      <w:r>
        <w:t xml:space="preserve">, two counts of unauthorized practice of law in violation of Business and Professions Code sections 6125 and 6126, two counts of charging an unconscionable fee in violation of rule 4-200(A), splitting a fee for legal services in violation of rule 2-200, and failing to comply with conditions of his probation in violation of Business and Professions Code section 6068, subdivision (k).  </w:t>
      </w:r>
      <w:r>
        <w:tab/>
      </w:r>
    </w:p>
    <w:p w:rsidR="009E2710" w:rsidRPr="00FB1189" w:rsidRDefault="009E2710" w:rsidP="0025628D">
      <w:pPr>
        <w:spacing w:line="480" w:lineRule="auto"/>
        <w:rPr>
          <w:b/>
        </w:rPr>
      </w:pPr>
      <w:r w:rsidRPr="00FB1189">
        <w:rPr>
          <w:b/>
        </w:rPr>
        <w:t>C.</w:t>
      </w:r>
      <w:r w:rsidR="001E3072">
        <w:rPr>
          <w:b/>
        </w:rPr>
        <w:tab/>
      </w:r>
      <w:r w:rsidRPr="00FB1189">
        <w:rPr>
          <w:b/>
        </w:rPr>
        <w:t>Level of Discipline</w:t>
      </w:r>
    </w:p>
    <w:p w:rsidR="009E2710" w:rsidRDefault="009E2710" w:rsidP="00FB1189">
      <w:pPr>
        <w:spacing w:line="480" w:lineRule="auto"/>
      </w:pPr>
      <w:r>
        <w:tab/>
        <w:t xml:space="preserve">The primary purpose of these disciplinary proceedings is not to punish the attorney but to protect the public, the courts, and the integrity of the legal profession.  </w:t>
      </w:r>
      <w:proofErr w:type="gramStart"/>
      <w:r>
        <w:t xml:space="preserve">(Std. 1.3; </w:t>
      </w:r>
      <w:r>
        <w:rPr>
          <w:i/>
          <w:iCs/>
        </w:rPr>
        <w:t>Bach v. State Bar</w:t>
      </w:r>
      <w:r>
        <w:t xml:space="preserve"> (1987) 43 Cal.3d 848, 856</w:t>
      </w:r>
      <w:r w:rsidR="00ED7239">
        <w:t>-857</w:t>
      </w:r>
      <w:r>
        <w:t>.)</w:t>
      </w:r>
      <w:proofErr w:type="gramEnd"/>
      <w:r>
        <w:t xml:space="preserve">  In determining the appropriate degree of discipline, we consider the standards, which serve as guidelines, as well as the facts and relevant case law.  (</w:t>
      </w:r>
      <w:r>
        <w:rPr>
          <w:i/>
        </w:rPr>
        <w:t>In the Matter of Van Sickle</w:t>
      </w:r>
      <w:r>
        <w:t xml:space="preserve"> (Review Dept. 200</w:t>
      </w:r>
      <w:r w:rsidR="00A16FC2">
        <w:t>6</w:t>
      </w:r>
      <w:r>
        <w:t xml:space="preserve">) 4 Cal. </w:t>
      </w:r>
      <w:proofErr w:type="gramStart"/>
      <w:r>
        <w:t>State</w:t>
      </w:r>
      <w:proofErr w:type="gramEnd"/>
      <w:r>
        <w:t xml:space="preserve"> Bar Ct. Rptr. 980, 994.)    </w:t>
      </w:r>
    </w:p>
    <w:p w:rsidR="009E2710" w:rsidRPr="00FB1189" w:rsidRDefault="009E2710" w:rsidP="00FB1189">
      <w:pPr>
        <w:spacing w:line="480" w:lineRule="auto"/>
      </w:pPr>
      <w:r>
        <w:tab/>
        <w:t xml:space="preserve">Based on </w:t>
      </w:r>
      <w:r w:rsidR="00E92E9D">
        <w:t>Cantarutti</w:t>
      </w:r>
      <w:r>
        <w:t xml:space="preserve">’s prior record of discipline, the applicable standard is 1.7(b), which provides for disbarment of an attorney who has two prior disciplines “unless the most compelling mitigating circumstances clearly predominate.”  However, we are “not bound to follow the </w:t>
      </w:r>
      <w:r>
        <w:lastRenderedPageBreak/>
        <w:t xml:space="preserve">standards in talismanic fashion” and we </w:t>
      </w:r>
      <w:r w:rsidRPr="00EC60B3">
        <w:t xml:space="preserve">may deviate </w:t>
      </w:r>
      <w:r>
        <w:t xml:space="preserve">from them </w:t>
      </w:r>
      <w:r w:rsidRPr="00EC60B3">
        <w:t xml:space="preserve">in </w:t>
      </w:r>
      <w:bookmarkStart w:id="4" w:name="SR;3439"/>
      <w:bookmarkEnd w:id="4"/>
      <w:r w:rsidR="00A16FC2">
        <w:t>determining</w:t>
      </w:r>
      <w:r w:rsidRPr="00EC60B3">
        <w:t xml:space="preserve"> the most appropriate </w:t>
      </w:r>
      <w:bookmarkStart w:id="5" w:name="SR;3443"/>
      <w:bookmarkEnd w:id="5"/>
      <w:r w:rsidRPr="00EC60B3">
        <w:t>discipline considering all the proven facts and circumstances of a given matter</w:t>
      </w:r>
      <w:r>
        <w:t xml:space="preserve">.  </w:t>
      </w:r>
      <w:proofErr w:type="gramStart"/>
      <w:r w:rsidRPr="00484AE9">
        <w:t>(</w:t>
      </w:r>
      <w:r>
        <w:rPr>
          <w:i/>
        </w:rPr>
        <w:t xml:space="preserve">Howard v. State </w:t>
      </w:r>
      <w:r w:rsidRPr="00484AE9">
        <w:t>Bar</w:t>
      </w:r>
      <w:r>
        <w:t xml:space="preserve"> (1990) 51 Cal.3d 21</w:t>
      </w:r>
      <w:r w:rsidR="00A16FC2">
        <w:t>5</w:t>
      </w:r>
      <w:r>
        <w:t xml:space="preserve">, 221-222); </w:t>
      </w:r>
      <w:r w:rsidRPr="00484AE9">
        <w:rPr>
          <w:i/>
          <w:iCs/>
        </w:rPr>
        <w:t>In re Young</w:t>
      </w:r>
      <w:r w:rsidRPr="00484AE9">
        <w:t xml:space="preserve"> (1989) 49 Cal.3d 257,</w:t>
      </w:r>
      <w:r>
        <w:t xml:space="preserve"> 267</w:t>
      </w:r>
      <w:r w:rsidR="00A16FC2">
        <w:t xml:space="preserve">, </w:t>
      </w:r>
      <w:r>
        <w:t>fn. 11.)</w:t>
      </w:r>
      <w:proofErr w:type="gramEnd"/>
      <w:r w:rsidRPr="00484AE9">
        <w:t xml:space="preserve"> </w:t>
      </w:r>
      <w:r>
        <w:t>“</w:t>
      </w:r>
      <w:r w:rsidR="00A16FC2">
        <w:t>[</w:t>
      </w:r>
      <w:r>
        <w:t>W</w:t>
      </w:r>
      <w:r w:rsidR="00A16FC2">
        <w:t>]</w:t>
      </w:r>
      <w:r w:rsidRPr="00AE299A">
        <w:t>hen considering the applicability of standard 1.7(b), the Supreme Court has placed great weigh</w:t>
      </w:r>
      <w:r>
        <w:t>t on whether or not there is a ‘common thread’</w:t>
      </w:r>
      <w:r w:rsidRPr="00AE299A">
        <w:t xml:space="preserve"> among the various prior</w:t>
      </w:r>
      <w:r w:rsidR="00A16FC2">
        <w:t xml:space="preserve"> disciplinary proceedings or a ‘</w:t>
      </w:r>
      <w:r w:rsidRPr="00AE299A">
        <w:t>habitual course of conduct</w:t>
      </w:r>
      <w:r w:rsidR="00A16FC2">
        <w:t>’</w:t>
      </w:r>
      <w:r w:rsidRPr="00AE299A">
        <w:t xml:space="preserve"> which justifies disbarment.</w:t>
      </w:r>
      <w:r>
        <w:t xml:space="preserve">  </w:t>
      </w:r>
      <w:proofErr w:type="gramStart"/>
      <w:r>
        <w:t>[Citation.]”</w:t>
      </w:r>
      <w:proofErr w:type="gramEnd"/>
      <w:r w:rsidRPr="00AE299A">
        <w:t xml:space="preserve"> (</w:t>
      </w:r>
      <w:bookmarkStart w:id="6" w:name="SearchTerm"/>
      <w:bookmarkEnd w:id="6"/>
      <w:r>
        <w:rPr>
          <w:i/>
        </w:rPr>
        <w:t>In the Matter of Shalant</w:t>
      </w:r>
      <w:r>
        <w:t xml:space="preserve"> (Review Dept. 2005) 4 Cal. </w:t>
      </w:r>
      <w:proofErr w:type="gramStart"/>
      <w:r>
        <w:t>State</w:t>
      </w:r>
      <w:proofErr w:type="gramEnd"/>
      <w:r>
        <w:t xml:space="preserve"> Bar Ct. Rptr. 829, 841.)</w:t>
      </w:r>
    </w:p>
    <w:p w:rsidR="00C33EBA" w:rsidRDefault="009E2710" w:rsidP="0025628D">
      <w:pPr>
        <w:spacing w:line="480" w:lineRule="auto"/>
      </w:pPr>
      <w:r>
        <w:tab/>
        <w:t>A wide range of discipline has been imposed on attorneys who have at least two prior records of misconduct</w:t>
      </w:r>
      <w:r w:rsidR="00395952">
        <w:t xml:space="preserve">.  </w:t>
      </w:r>
      <w:r w:rsidR="007D7741">
        <w:t>Cantarutti’s misconduct,</w:t>
      </w:r>
      <w:r w:rsidR="00395952">
        <w:t xml:space="preserve"> however,</w:t>
      </w:r>
      <w:r>
        <w:t xml:space="preserve"> </w:t>
      </w:r>
      <w:r w:rsidR="001E3072">
        <w:t>has</w:t>
      </w:r>
      <w:r>
        <w:t xml:space="preserve"> no pattern or common thread to all of the discipline matters.  When assessing the appropriate discipline</w:t>
      </w:r>
      <w:r w:rsidR="00395952">
        <w:t xml:space="preserve"> in these circumstances</w:t>
      </w:r>
      <w:r>
        <w:t>, the type and seriousness of misconduct involved in the current and prior discipline proceedings, the length of time since imposition of the prior discipline, and any mitigating and aggravating circumstances</w:t>
      </w:r>
      <w:r w:rsidR="00395952">
        <w:t xml:space="preserve"> are considered</w:t>
      </w:r>
      <w:r>
        <w:t>.</w:t>
      </w:r>
      <w:r w:rsidR="00395952">
        <w:t xml:space="preserve">  </w:t>
      </w:r>
    </w:p>
    <w:p w:rsidR="009F2B82" w:rsidRDefault="009E2710" w:rsidP="009F2B82">
      <w:pPr>
        <w:spacing w:line="480" w:lineRule="auto"/>
      </w:pPr>
      <w:r>
        <w:tab/>
        <w:t xml:space="preserve">In light of </w:t>
      </w:r>
      <w:r w:rsidR="00E92E9D">
        <w:t>Cantarutti</w:t>
      </w:r>
      <w:r>
        <w:t>’s prior record of discipline and lack of mitigation</w:t>
      </w:r>
      <w:r w:rsidR="007D7741">
        <w:t xml:space="preserve"> in this case</w:t>
      </w:r>
      <w:r>
        <w:t>, we adopt the hearing judge’s recommended 18-month suspension.</w:t>
      </w:r>
      <w:r w:rsidRPr="00CE6289">
        <w:rPr>
          <w:rStyle w:val="FootnoteReference"/>
          <w:vertAlign w:val="superscript"/>
        </w:rPr>
        <w:footnoteReference w:id="14"/>
      </w:r>
      <w:r>
        <w:t xml:space="preserve"> </w:t>
      </w:r>
      <w:r w:rsidR="00BD32DD">
        <w:t xml:space="preserve"> His</w:t>
      </w:r>
      <w:r>
        <w:t xml:space="preserve"> previous misconduct was not remote in time, and he was actually suspended for one year in 2003.  Moreover, he was found to have committed an uncharged violation of rule 2-100 in his first disciplinary proceeding in 1999.  While we do not find </w:t>
      </w:r>
      <w:r w:rsidR="00C33EBA">
        <w:t xml:space="preserve">that </w:t>
      </w:r>
      <w:r>
        <w:t xml:space="preserve">the rule 2-100 violations in 1999 and in this case establish a pattern or common thread, it is </w:t>
      </w:r>
      <w:r w:rsidR="00455F99">
        <w:t>inexcusable</w:t>
      </w:r>
      <w:r>
        <w:t xml:space="preserve"> that </w:t>
      </w:r>
      <w:r w:rsidR="00E92E9D">
        <w:t>Cantarutti</w:t>
      </w:r>
      <w:r>
        <w:t xml:space="preserve"> chose to serve the </w:t>
      </w:r>
      <w:r w:rsidR="007D7741">
        <w:t xml:space="preserve">deposition </w:t>
      </w:r>
      <w:r>
        <w:t>notice</w:t>
      </w:r>
      <w:r w:rsidR="007D7741">
        <w:t xml:space="preserve"> on Dawna</w:t>
      </w:r>
      <w:r>
        <w:t xml:space="preserve"> without fully exploring whether he had the legal authority to do so.  Since this is </w:t>
      </w:r>
      <w:r w:rsidR="00E92E9D">
        <w:t>Cantarutti</w:t>
      </w:r>
      <w:r>
        <w:t xml:space="preserve">’s third disciplinary case and </w:t>
      </w:r>
      <w:r w:rsidR="007D7741">
        <w:t>his actions are</w:t>
      </w:r>
      <w:r>
        <w:t xml:space="preserve"> similar to his previous mis</w:t>
      </w:r>
      <w:r w:rsidR="007D7741">
        <w:t>conduct</w:t>
      </w:r>
      <w:r>
        <w:t xml:space="preserve">, we </w:t>
      </w:r>
      <w:r>
        <w:lastRenderedPageBreak/>
        <w:t>recommend a greater period of suspension than that imposed in 2003.  (Std. 1.7(a)</w:t>
      </w:r>
      <w:r w:rsidRPr="001550BA">
        <w:t xml:space="preserve"> </w:t>
      </w:r>
      <w:r>
        <w:t xml:space="preserve">[if member </w:t>
      </w:r>
    </w:p>
    <w:p w:rsidR="009F2B82" w:rsidRDefault="009F2B82">
      <w:pPr>
        <w:widowControl/>
        <w:autoSpaceDE/>
        <w:autoSpaceDN/>
        <w:adjustRightInd/>
      </w:pPr>
      <w:r>
        <w:br w:type="page"/>
      </w:r>
    </w:p>
    <w:p w:rsidR="009F2B82" w:rsidRDefault="009E2710" w:rsidP="009F2B82">
      <w:pPr>
        <w:spacing w:line="480" w:lineRule="auto"/>
      </w:pPr>
      <w:proofErr w:type="gramStart"/>
      <w:r>
        <w:t>has</w:t>
      </w:r>
      <w:proofErr w:type="gramEnd"/>
      <w:r>
        <w:t xml:space="preserve"> one prior record of discipline, subsequent discipline shall be greater than that imposed in prior proceeding]</w:t>
      </w:r>
      <w:r w:rsidR="00E344DA">
        <w:t xml:space="preserve">. </w:t>
      </w:r>
      <w:r>
        <w:t xml:space="preserve"> </w:t>
      </w:r>
    </w:p>
    <w:p w:rsidR="00F9488E" w:rsidRDefault="00E92E9D" w:rsidP="009F2B82">
      <w:pPr>
        <w:spacing w:line="480" w:lineRule="auto"/>
        <w:ind w:firstLine="720"/>
      </w:pPr>
      <w:r>
        <w:t>Cantarutti</w:t>
      </w:r>
      <w:r w:rsidR="009E2710">
        <w:t>’s latest misconduct reflects a lack of understanding of his professional responsibilities</w:t>
      </w:r>
      <w:r w:rsidR="00C33EBA">
        <w:t>,</w:t>
      </w:r>
      <w:r w:rsidR="009E2710">
        <w:t xml:space="preserve"> even after prior disciplines should have motivated him to reflect on, and conform to, the ethical parameters of the legal profession.  We therefore conclude that </w:t>
      </w:r>
      <w:r w:rsidR="00455F99">
        <w:t>the</w:t>
      </w:r>
      <w:r w:rsidR="009E2710">
        <w:t xml:space="preserve"> 18-month</w:t>
      </w:r>
      <w:r w:rsidR="00B0231F">
        <w:t xml:space="preserve"> </w:t>
      </w:r>
      <w:r w:rsidR="005B1F05">
        <w:t xml:space="preserve">actual </w:t>
      </w:r>
      <w:r w:rsidR="009E2710">
        <w:t>suspension is appropriate</w:t>
      </w:r>
      <w:r w:rsidR="00395952">
        <w:t xml:space="preserve"> and supported by comparable case law to ensure discipline proportionate to the misconduct.  </w:t>
      </w:r>
      <w:r w:rsidR="00D57280">
        <w:t>(</w:t>
      </w:r>
      <w:r w:rsidR="00D57280" w:rsidRPr="00A473FF">
        <w:t xml:space="preserve">See </w:t>
      </w:r>
      <w:r w:rsidR="00D57280" w:rsidRPr="00A473FF">
        <w:rPr>
          <w:i/>
        </w:rPr>
        <w:t>Arm v. State Bar</w:t>
      </w:r>
      <w:r w:rsidR="00D57280" w:rsidRPr="00A473FF">
        <w:t xml:space="preserve"> (1990) 50 Cal.3d 76</w:t>
      </w:r>
      <w:r w:rsidR="00B0231F">
        <w:t>3</w:t>
      </w:r>
      <w:r w:rsidR="00D57280" w:rsidRPr="00A473FF">
        <w:t xml:space="preserve"> [18-month </w:t>
      </w:r>
      <w:r w:rsidR="005B1F05">
        <w:t xml:space="preserve">actual </w:t>
      </w:r>
      <w:r w:rsidR="00D57280" w:rsidRPr="00A473FF">
        <w:t>suspension for commingling funds and failing to disclose suspension during court proceedings where mitigation for lack of harm and no bad faith, and aggravation for three prior records of discipline]</w:t>
      </w:r>
      <w:r w:rsidR="00D57280">
        <w:t xml:space="preserve">; </w:t>
      </w:r>
      <w:r w:rsidR="00D57280" w:rsidRPr="00A473FF">
        <w:rPr>
          <w:i/>
        </w:rPr>
        <w:t>In the Matter of Tiernan</w:t>
      </w:r>
      <w:r w:rsidR="00D57280" w:rsidRPr="00A473FF">
        <w:t xml:space="preserve"> (Review Dept. 1996) 3 Cal. State Bar Ct. Rptr. 52</w:t>
      </w:r>
      <w:r w:rsidR="00B0231F">
        <w:t>3</w:t>
      </w:r>
      <w:r w:rsidR="00D57280" w:rsidRPr="00A473FF">
        <w:t xml:space="preserve"> [11-month </w:t>
      </w:r>
      <w:r w:rsidR="005B1F05">
        <w:t xml:space="preserve">actual </w:t>
      </w:r>
      <w:r w:rsidR="00D57280" w:rsidRPr="00A473FF">
        <w:t xml:space="preserve">suspension for probation violations where no mitigation but aggravation including four prior records of discipline]; </w:t>
      </w:r>
      <w:r w:rsidR="00D57280" w:rsidRPr="00A473FF">
        <w:rPr>
          <w:i/>
        </w:rPr>
        <w:t>In the Matter of Miller</w:t>
      </w:r>
      <w:r w:rsidR="00D57280" w:rsidRPr="00A473FF">
        <w:t xml:space="preserve"> (Review Dept. 1990) 1 Cal. State Bar Ct. Rptr. 13</w:t>
      </w:r>
      <w:r w:rsidR="00B0231F">
        <w:t>1</w:t>
      </w:r>
      <w:r w:rsidR="00D57280" w:rsidRPr="00A473FF">
        <w:t xml:space="preserve"> [one-year </w:t>
      </w:r>
      <w:r w:rsidR="005B1F05">
        <w:t xml:space="preserve">actual </w:t>
      </w:r>
      <w:r w:rsidR="00D57280" w:rsidRPr="00A473FF">
        <w:t>suspension for abandoning client, deceiving client about status of case and failing to participate in disciplinary proceedings where no mitigation but aggravation for two prior records of discipline]</w:t>
      </w:r>
      <w:r w:rsidR="00D57280">
        <w:t>.)</w:t>
      </w:r>
    </w:p>
    <w:p w:rsidR="009E2710" w:rsidRDefault="009E2710" w:rsidP="00B377D5">
      <w:pPr>
        <w:spacing w:line="480" w:lineRule="auto"/>
        <w:jc w:val="center"/>
        <w:rPr>
          <w:b/>
        </w:rPr>
      </w:pPr>
      <w:r w:rsidRPr="005858BB">
        <w:rPr>
          <w:b/>
        </w:rPr>
        <w:t>V.  RECOMMENDATION</w:t>
      </w:r>
    </w:p>
    <w:p w:rsidR="009A4F62" w:rsidRDefault="009E2710" w:rsidP="009A4F62">
      <w:pPr>
        <w:spacing w:line="480" w:lineRule="auto"/>
      </w:pPr>
      <w:r>
        <w:tab/>
        <w:t>For the foregoing reasons</w:t>
      </w:r>
      <w:r w:rsidR="00C33EBA">
        <w:t>,</w:t>
      </w:r>
      <w:r>
        <w:t xml:space="preserve"> we recommend that </w:t>
      </w:r>
      <w:r w:rsidRPr="00B3380E">
        <w:rPr>
          <w:bCs/>
        </w:rPr>
        <w:t>Michael S. Cantarutti</w:t>
      </w:r>
      <w:r>
        <w:t xml:space="preserve"> be suspended from the practice of law </w:t>
      </w:r>
      <w:r w:rsidR="00B0231F">
        <w:t xml:space="preserve">in California </w:t>
      </w:r>
      <w:r>
        <w:t>for three years, that execution of th</w:t>
      </w:r>
      <w:r w:rsidR="00B0231F">
        <w:t>at period of</w:t>
      </w:r>
      <w:r>
        <w:t xml:space="preserve"> suspension be stayed, and that </w:t>
      </w:r>
      <w:r w:rsidR="009A4F62">
        <w:t>he</w:t>
      </w:r>
      <w:r>
        <w:t xml:space="preserve"> be placed on probation for three years </w:t>
      </w:r>
      <w:r w:rsidR="00FA6A23">
        <w:t>subject to</w:t>
      </w:r>
      <w:r w:rsidR="009A4F62">
        <w:t xml:space="preserve"> the following conditions:  </w:t>
      </w:r>
    </w:p>
    <w:p w:rsidR="009A4F62" w:rsidRDefault="00E344DA" w:rsidP="006573D0">
      <w:pPr>
        <w:ind w:left="1440" w:hanging="720"/>
      </w:pPr>
      <w:r>
        <w:t>1.</w:t>
      </w:r>
      <w:r>
        <w:tab/>
      </w:r>
      <w:r w:rsidR="0022623C">
        <w:t>H</w:t>
      </w:r>
      <w:r w:rsidR="00FA5F0E">
        <w:t>e</w:t>
      </w:r>
      <w:r w:rsidR="009A4F62">
        <w:t xml:space="preserve"> must be suspended from the practice of law for the first </w:t>
      </w:r>
      <w:r w:rsidR="00C46296">
        <w:t>18</w:t>
      </w:r>
      <w:r w:rsidR="009A4F62">
        <w:t xml:space="preserve"> months of probation;</w:t>
      </w:r>
    </w:p>
    <w:p w:rsidR="0022623C" w:rsidRDefault="0022623C" w:rsidP="0022623C">
      <w:r>
        <w:tab/>
      </w:r>
    </w:p>
    <w:p w:rsidR="0022623C" w:rsidRDefault="0022623C" w:rsidP="006573D0">
      <w:pPr>
        <w:ind w:left="1440" w:hanging="720"/>
      </w:pPr>
      <w:r>
        <w:t>2.</w:t>
      </w:r>
      <w:r w:rsidR="006573D0">
        <w:tab/>
      </w:r>
      <w:r w:rsidR="009A4F62">
        <w:t>Within 30</w:t>
      </w:r>
      <w:r w:rsidR="005956AA">
        <w:t xml:space="preserve"> </w:t>
      </w:r>
      <w:r w:rsidR="009A4F62">
        <w:t xml:space="preserve">days after the effective date of discipline, </w:t>
      </w:r>
      <w:r w:rsidR="00FA5F0E">
        <w:t>he</w:t>
      </w:r>
      <w:r w:rsidR="009A4F62">
        <w:t xml:space="preserve"> must contact the Office of Probation and schedule a meeting with </w:t>
      </w:r>
      <w:r w:rsidR="00455F99">
        <w:t>his</w:t>
      </w:r>
      <w:r w:rsidR="009A4F62">
        <w:t xml:space="preserve"> assigned probation deputy to discuss these terms and conditions of probation. </w:t>
      </w:r>
      <w:r w:rsidR="00C46296">
        <w:t xml:space="preserve"> </w:t>
      </w:r>
      <w:r w:rsidR="009A4F62">
        <w:t xml:space="preserve">Upon the direction of the Office of Probation, </w:t>
      </w:r>
      <w:r w:rsidR="00FA5F0E">
        <w:t>he</w:t>
      </w:r>
      <w:r w:rsidR="009A4F62">
        <w:t xml:space="preserve"> must meet with the probation deputy either in-person or by telephone.  During the period of probation, </w:t>
      </w:r>
      <w:r w:rsidR="00455F99">
        <w:t>he</w:t>
      </w:r>
      <w:r w:rsidR="009A4F62">
        <w:t xml:space="preserve"> must promptly </w:t>
      </w:r>
      <w:r>
        <w:t>m</w:t>
      </w:r>
      <w:r w:rsidR="009A4F62">
        <w:t xml:space="preserve">eet with the probation deputy as directed and upon request;  </w:t>
      </w:r>
    </w:p>
    <w:p w:rsidR="0022623C" w:rsidRDefault="0022623C" w:rsidP="0022623C"/>
    <w:p w:rsidR="009A4F62" w:rsidRDefault="006573D0" w:rsidP="006573D0">
      <w:pPr>
        <w:ind w:left="1440" w:hanging="720"/>
      </w:pPr>
      <w:r>
        <w:t>3.</w:t>
      </w:r>
      <w:r>
        <w:tab/>
      </w:r>
      <w:r w:rsidR="00FA5F0E">
        <w:t>He</w:t>
      </w:r>
      <w:r w:rsidR="009A4F62">
        <w:t xml:space="preserve"> must submit written quarterly reports to the Office of Probation of the State </w:t>
      </w:r>
      <w:proofErr w:type="gramStart"/>
      <w:r w:rsidR="009A4F62">
        <w:t>Bar  of</w:t>
      </w:r>
      <w:proofErr w:type="gramEnd"/>
      <w:r w:rsidR="009A4F62">
        <w:t xml:space="preserve"> California on each January 10, April 10, July 10, and October 10 of the period of probation.  Under penalty of perjury, </w:t>
      </w:r>
      <w:r w:rsidR="00455F99">
        <w:t>he</w:t>
      </w:r>
      <w:r w:rsidR="00FA6A23">
        <w:t xml:space="preserve"> must state whether h</w:t>
      </w:r>
      <w:r w:rsidR="009A4F62">
        <w:t>e has complied with the State Bar Act, the Rules of Professional Conduct, and all conditions of probation during the preceding calendar quarter.  If the first report will cove</w:t>
      </w:r>
      <w:r w:rsidR="00C46296">
        <w:t>r less than 30</w:t>
      </w:r>
      <w:r w:rsidR="009A4F62">
        <w:t xml:space="preserve"> days, that report must be submitted on the next following quarter date, and cover the extended period.  In addition to all quarterly reports, a final report, containing the same information,</w:t>
      </w:r>
      <w:r w:rsidR="00C46296">
        <w:t xml:space="preserve"> is due no earlier than </w:t>
      </w:r>
      <w:r w:rsidR="009A4F62">
        <w:t xml:space="preserve">20 days before the last day of the probation period and no later than the last day of the probation period; </w:t>
      </w:r>
    </w:p>
    <w:p w:rsidR="0022623C" w:rsidRDefault="0022623C" w:rsidP="0022623C"/>
    <w:p w:rsidR="009A4F62" w:rsidRDefault="006573D0" w:rsidP="006573D0">
      <w:pPr>
        <w:ind w:left="1440" w:hanging="720"/>
      </w:pPr>
      <w:r>
        <w:t>4.</w:t>
      </w:r>
      <w:r>
        <w:tab/>
      </w:r>
      <w:r w:rsidR="009A4F62">
        <w:t xml:space="preserve">Subject to the assertion of applicable privileges, </w:t>
      </w:r>
      <w:r w:rsidR="00FA5F0E">
        <w:t>he</w:t>
      </w:r>
      <w:r w:rsidR="009A4F62">
        <w:t xml:space="preserve"> must answer fully, promptly, and truthfully, any inquiries of the Office of Probation which are directed to </w:t>
      </w:r>
      <w:r w:rsidR="009F2B82">
        <w:t xml:space="preserve">him </w:t>
      </w:r>
      <w:r w:rsidR="009A4F62">
        <w:t xml:space="preserve">personally or in writing, relating to whether </w:t>
      </w:r>
      <w:r w:rsidR="009F2B82">
        <w:t>he</w:t>
      </w:r>
      <w:r w:rsidR="009A4F62">
        <w:t xml:space="preserve"> is complying or has complied with the conditions contained herein;</w:t>
      </w:r>
    </w:p>
    <w:p w:rsidR="0022623C" w:rsidRDefault="0022623C" w:rsidP="0022623C"/>
    <w:p w:rsidR="009A4F62" w:rsidRDefault="006573D0" w:rsidP="006573D0">
      <w:pPr>
        <w:ind w:left="1440" w:hanging="720"/>
      </w:pPr>
      <w:r>
        <w:t>5.</w:t>
      </w:r>
      <w:r>
        <w:tab/>
      </w:r>
      <w:r w:rsidR="009A4F62">
        <w:t>Within 10 days of any change</w:t>
      </w:r>
      <w:r w:rsidR="00492E28">
        <w:t xml:space="preserve"> in the information required to be maintained on the membership records of the State Bar pursuant to Business and Professions Code section 6002.1, subdivision (a), including his </w:t>
      </w:r>
      <w:r w:rsidR="009A4F62">
        <w:t xml:space="preserve">current office address and telephone number, or if no office is maintained, the address to be used for State Bar purposes, </w:t>
      </w:r>
      <w:r w:rsidR="00492E28">
        <w:t>he must report such change in writing to the Membership Records Office of the State Bar and the State Bar’s Office of Probation.</w:t>
      </w:r>
    </w:p>
    <w:p w:rsidR="0022623C" w:rsidRDefault="0022623C" w:rsidP="0022623C"/>
    <w:p w:rsidR="0022623C" w:rsidRDefault="006573D0" w:rsidP="0022623C">
      <w:r>
        <w:tab/>
        <w:t>6.</w:t>
      </w:r>
      <w:r>
        <w:tab/>
      </w:r>
      <w:r w:rsidR="0022623C">
        <w:t>He must comply with the State Bar Act and the Rules of Professional Conduct.</w:t>
      </w:r>
    </w:p>
    <w:p w:rsidR="00A7244A" w:rsidRDefault="00A7244A" w:rsidP="0022623C"/>
    <w:p w:rsidR="009A4F62" w:rsidRDefault="006573D0" w:rsidP="006573D0">
      <w:pPr>
        <w:ind w:left="1440" w:hanging="720"/>
      </w:pPr>
      <w:r>
        <w:t>7.</w:t>
      </w:r>
      <w:r>
        <w:tab/>
      </w:r>
      <w:r w:rsidR="009A4F62">
        <w:t xml:space="preserve">Within </w:t>
      </w:r>
      <w:r w:rsidR="00FA6A23">
        <w:t xml:space="preserve">one year after the effective date of the Supreme Court order in this matter, </w:t>
      </w:r>
      <w:r w:rsidR="009F2B82">
        <w:t>he</w:t>
      </w:r>
      <w:r w:rsidR="00FA6A23">
        <w:t xml:space="preserve"> must attend and satisfactorily complete the State Bar’s Ethics School and provide satisfactory proof of such completion to the State Bar’s Office of Probation in Los Angeles. This condition of probation is se</w:t>
      </w:r>
      <w:r w:rsidR="009F2B82">
        <w:t>parate and apart from hi</w:t>
      </w:r>
      <w:r w:rsidR="00FA6A23">
        <w:t xml:space="preserve">s California Minimum Continuing Legal Education (MCLE) requirements; accordingly, </w:t>
      </w:r>
      <w:r w:rsidR="009F2B82">
        <w:t>he</w:t>
      </w:r>
      <w:r w:rsidR="00FA6A23">
        <w:t xml:space="preserve"> is ordered not to claim any MCLE credit for attending and completing this course.  </w:t>
      </w:r>
    </w:p>
    <w:p w:rsidR="0022623C" w:rsidRDefault="0022623C" w:rsidP="0022623C"/>
    <w:p w:rsidR="009A4F62" w:rsidRDefault="006573D0" w:rsidP="006573D0">
      <w:pPr>
        <w:ind w:left="1440" w:hanging="720"/>
      </w:pPr>
      <w:r>
        <w:t>8.</w:t>
      </w:r>
      <w:r>
        <w:tab/>
      </w:r>
      <w:r w:rsidR="009A4F62">
        <w:t xml:space="preserve">The period of probation will commence on the effective date of the </w:t>
      </w:r>
      <w:r w:rsidR="00492E28">
        <w:t>O</w:t>
      </w:r>
      <w:r w:rsidR="009A4F62">
        <w:t>rder of the Supreme Court imposing discipline in this matter</w:t>
      </w:r>
      <w:r w:rsidR="00492E28">
        <w:t xml:space="preserve">.  </w:t>
      </w:r>
      <w:r>
        <w:t>At t</w:t>
      </w:r>
      <w:r w:rsidR="00492E28">
        <w:t>he</w:t>
      </w:r>
      <w:r w:rsidR="009A4F62">
        <w:t xml:space="preserve"> expiration of the period of this probation, if </w:t>
      </w:r>
      <w:r w:rsidR="00FA5F0E">
        <w:t xml:space="preserve">he </w:t>
      </w:r>
      <w:r w:rsidR="009A4F62">
        <w:t>has complied with all</w:t>
      </w:r>
      <w:r w:rsidR="00FA6A23">
        <w:t xml:space="preserve"> of the conditions</w:t>
      </w:r>
      <w:r w:rsidR="009A4F62">
        <w:t xml:space="preserve"> of probation, the </w:t>
      </w:r>
      <w:r w:rsidR="00FA6A23">
        <w:t>three-year period of stayed suspension will be satisfied and that suspension will be terminated.</w:t>
      </w:r>
    </w:p>
    <w:p w:rsidR="0022623C" w:rsidRDefault="0022623C" w:rsidP="0022623C"/>
    <w:p w:rsidR="009F2B82" w:rsidRDefault="009E2710" w:rsidP="00FF3948">
      <w:pPr>
        <w:spacing w:line="480" w:lineRule="auto"/>
        <w:ind w:firstLine="720"/>
      </w:pPr>
      <w:r>
        <w:t xml:space="preserve">We </w:t>
      </w:r>
      <w:r w:rsidR="006573D0">
        <w:t xml:space="preserve">further </w:t>
      </w:r>
      <w:r>
        <w:t xml:space="preserve">recommend that </w:t>
      </w:r>
      <w:r w:rsidR="00FA6A23">
        <w:t>Cantarutti</w:t>
      </w:r>
      <w:r w:rsidR="00FF3948">
        <w:t xml:space="preserve"> be ordered to</w:t>
      </w:r>
      <w:r>
        <w:t xml:space="preserve"> </w:t>
      </w:r>
      <w:r w:rsidR="00FF3948">
        <w:t xml:space="preserve">take and pass the Multistate Professional Responsibility Examination within one year after the effective date of the Supreme Court order in this matter and provide satisfactory proof of such passage to the State Bar’s Office </w:t>
      </w:r>
    </w:p>
    <w:p w:rsidR="009F2B82" w:rsidRDefault="009F2B82">
      <w:pPr>
        <w:widowControl/>
        <w:autoSpaceDE/>
        <w:autoSpaceDN/>
        <w:adjustRightInd/>
      </w:pPr>
      <w:r>
        <w:br w:type="page"/>
      </w:r>
    </w:p>
    <w:p w:rsidR="00FF3948" w:rsidRDefault="00FF3948" w:rsidP="009F2B82">
      <w:pPr>
        <w:spacing w:line="480" w:lineRule="auto"/>
      </w:pPr>
      <w:proofErr w:type="gramStart"/>
      <w:r>
        <w:t>of</w:t>
      </w:r>
      <w:proofErr w:type="gramEnd"/>
      <w:r>
        <w:t xml:space="preserve"> Probation in Los Angeles within the same period.  Failure to do so may result in an automatic suspension.  (Cal. Rules of Court, rule 9.10(b).)</w:t>
      </w:r>
    </w:p>
    <w:p w:rsidR="00D57280" w:rsidRDefault="009E2710" w:rsidP="009166EC">
      <w:pPr>
        <w:spacing w:line="480" w:lineRule="auto"/>
      </w:pPr>
      <w:r>
        <w:tab/>
      </w:r>
      <w:r w:rsidR="00FA5F0E">
        <w:t xml:space="preserve">We further recommend </w:t>
      </w:r>
      <w:r>
        <w:t xml:space="preserve">that </w:t>
      </w:r>
      <w:r w:rsidR="0022623C">
        <w:t>he</w:t>
      </w:r>
      <w:r>
        <w:t xml:space="preserve"> be ordered to </w:t>
      </w:r>
      <w:r w:rsidR="00FF3948">
        <w:t>comply with rule 9.20 of the California Rules of Court and perform the acts specified in subdivisions (a) and (c) of that rule, within 30 and 40 calendar days, respectively, after the effective date of the Supreme Court order herein.  Failure to do so may result in disbarment or suspension.</w:t>
      </w:r>
    </w:p>
    <w:p w:rsidR="009E2710" w:rsidRDefault="009E2710" w:rsidP="00492E28">
      <w:pPr>
        <w:spacing w:line="480" w:lineRule="auto"/>
      </w:pPr>
      <w:r>
        <w:tab/>
      </w:r>
      <w:r w:rsidR="00FA5F0E">
        <w:t xml:space="preserve">Finally, we </w:t>
      </w:r>
      <w:r>
        <w:t>recommend that costs be awarded to the State Bar in accordance with Business and Professions Code section 6086.10, such costs being enforceable both as provided in section 6140.7 and as a money judgment</w:t>
      </w:r>
      <w:r w:rsidR="0022623C">
        <w:t>.</w:t>
      </w:r>
    </w:p>
    <w:p w:rsidR="00F9488E" w:rsidRDefault="00F9488E" w:rsidP="00086198">
      <w:pPr>
        <w:spacing w:line="480" w:lineRule="auto"/>
      </w:pPr>
    </w:p>
    <w:p w:rsidR="009E2710" w:rsidRDefault="009E2710" w:rsidP="00086198">
      <w:pPr>
        <w:spacing w:line="480" w:lineRule="auto"/>
      </w:pPr>
      <w:r>
        <w:tab/>
      </w:r>
      <w:r>
        <w:tab/>
      </w:r>
      <w:r>
        <w:tab/>
      </w:r>
      <w:r>
        <w:tab/>
      </w:r>
      <w:r>
        <w:tab/>
      </w:r>
      <w:r>
        <w:tab/>
        <w:t xml:space="preserve">  </w:t>
      </w:r>
      <w:r>
        <w:tab/>
        <w:t>PURCELL, J.</w:t>
      </w:r>
    </w:p>
    <w:p w:rsidR="009E2710" w:rsidRDefault="009E2710" w:rsidP="00086198">
      <w:pPr>
        <w:spacing w:line="480" w:lineRule="auto"/>
      </w:pPr>
      <w:r>
        <w:t>W</w:t>
      </w:r>
      <w:r w:rsidR="00FF3948">
        <w:t>e concur</w:t>
      </w:r>
      <w:r>
        <w:t>:</w:t>
      </w:r>
    </w:p>
    <w:p w:rsidR="009E2710" w:rsidRDefault="009E2710" w:rsidP="00086198">
      <w:pPr>
        <w:spacing w:line="480" w:lineRule="auto"/>
      </w:pPr>
      <w:r>
        <w:t>REMKE, P. J.</w:t>
      </w:r>
    </w:p>
    <w:p w:rsidR="0022623C" w:rsidRDefault="009E2710" w:rsidP="00B3380E">
      <w:pPr>
        <w:spacing w:line="480" w:lineRule="auto"/>
      </w:pPr>
      <w:r>
        <w:t>EPSTEIN, J.</w:t>
      </w:r>
    </w:p>
    <w:p w:rsidR="00D57280" w:rsidRDefault="00D57280" w:rsidP="00B3380E">
      <w:pPr>
        <w:spacing w:line="480" w:lineRule="auto"/>
      </w:pPr>
    </w:p>
    <w:sectPr w:rsidR="00D57280" w:rsidSect="00C80907">
      <w:footerReference w:type="default" r:id="rId8"/>
      <w:pgSz w:w="12240" w:h="15840" w:code="1"/>
      <w:pgMar w:top="1440" w:right="1440" w:bottom="864" w:left="144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376" w:rsidRDefault="00CA2376" w:rsidP="000410D0">
      <w:r>
        <w:separator/>
      </w:r>
    </w:p>
  </w:endnote>
  <w:endnote w:type="continuationSeparator" w:id="0">
    <w:p w:rsidR="00CA2376" w:rsidRDefault="00CA2376" w:rsidP="000410D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4622" w:rsidRDefault="00965BE6" w:rsidP="00D0038F">
    <w:pPr>
      <w:pStyle w:val="Footer"/>
      <w:spacing w:before="120" w:after="120"/>
      <w:jc w:val="center"/>
    </w:pPr>
    <w:fldSimple w:instr=" PAGE   \* MERGEFORMAT ">
      <w:r w:rsidR="005900FD">
        <w:rPr>
          <w:noProof/>
        </w:rPr>
        <w:t>16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376" w:rsidRDefault="00CA2376" w:rsidP="000410D0">
      <w:r>
        <w:separator/>
      </w:r>
    </w:p>
  </w:footnote>
  <w:footnote w:type="continuationSeparator" w:id="0">
    <w:p w:rsidR="00CA2376" w:rsidRDefault="00CA2376" w:rsidP="000410D0">
      <w:r>
        <w:continuationSeparator/>
      </w:r>
    </w:p>
  </w:footnote>
  <w:footnote w:id="1">
    <w:p w:rsidR="00D84622" w:rsidRPr="00A473FF" w:rsidRDefault="00D84622" w:rsidP="00D0038F">
      <w:pPr>
        <w:pStyle w:val="FootnoteText"/>
        <w:spacing w:after="120"/>
        <w:ind w:firstLine="720"/>
        <w:rPr>
          <w:sz w:val="24"/>
          <w:szCs w:val="24"/>
        </w:rPr>
      </w:pPr>
      <w:r w:rsidRPr="00A473FF">
        <w:rPr>
          <w:rStyle w:val="FootnoteReference"/>
          <w:sz w:val="24"/>
          <w:szCs w:val="24"/>
          <w:vertAlign w:val="superscript"/>
        </w:rPr>
        <w:footnoteRef/>
      </w:r>
      <w:r w:rsidRPr="00A473FF">
        <w:rPr>
          <w:sz w:val="24"/>
          <w:szCs w:val="24"/>
        </w:rPr>
        <w:t>Unless otherwise noted, all further references to “rules” are to the Rules of Professional Conduct.</w:t>
      </w:r>
    </w:p>
  </w:footnote>
  <w:footnote w:id="2">
    <w:p w:rsidR="00D84622" w:rsidRPr="00432177" w:rsidRDefault="00D84622" w:rsidP="00915172">
      <w:pPr>
        <w:pStyle w:val="FootnoteText"/>
        <w:spacing w:after="120"/>
        <w:ind w:firstLine="720"/>
        <w:rPr>
          <w:sz w:val="24"/>
          <w:szCs w:val="24"/>
        </w:rPr>
      </w:pPr>
      <w:r w:rsidRPr="00FD4FCD">
        <w:rPr>
          <w:rStyle w:val="FootnoteReference"/>
          <w:vertAlign w:val="superscript"/>
        </w:rPr>
        <w:footnoteRef/>
      </w:r>
      <w:proofErr w:type="gramStart"/>
      <w:r w:rsidRPr="00432177">
        <w:rPr>
          <w:i/>
          <w:sz w:val="24"/>
          <w:szCs w:val="24"/>
        </w:rPr>
        <w:t>In re Morse</w:t>
      </w:r>
      <w:r>
        <w:rPr>
          <w:sz w:val="24"/>
          <w:szCs w:val="24"/>
        </w:rPr>
        <w:t xml:space="preserve"> (199</w:t>
      </w:r>
      <w:r w:rsidRPr="00432177">
        <w:rPr>
          <w:sz w:val="24"/>
          <w:szCs w:val="24"/>
        </w:rPr>
        <w:t>5) 11 Cal.4</w:t>
      </w:r>
      <w:r>
        <w:rPr>
          <w:sz w:val="24"/>
          <w:szCs w:val="24"/>
        </w:rPr>
        <w:t>th</w:t>
      </w:r>
      <w:r w:rsidRPr="00432177">
        <w:rPr>
          <w:sz w:val="24"/>
          <w:szCs w:val="24"/>
        </w:rPr>
        <w:t xml:space="preserve"> 184, 207</w:t>
      </w:r>
      <w:r>
        <w:rPr>
          <w:sz w:val="24"/>
          <w:szCs w:val="24"/>
        </w:rPr>
        <w:t>.</w:t>
      </w:r>
      <w:proofErr w:type="gramEnd"/>
      <w:r w:rsidRPr="00432177">
        <w:rPr>
          <w:bCs/>
          <w:sz w:val="24"/>
          <w:szCs w:val="24"/>
        </w:rPr>
        <w:t xml:space="preserve"> </w:t>
      </w:r>
      <w:r w:rsidRPr="00432177">
        <w:rPr>
          <w:sz w:val="24"/>
          <w:szCs w:val="24"/>
        </w:rPr>
        <w:t xml:space="preserve"> </w:t>
      </w:r>
    </w:p>
  </w:footnote>
  <w:footnote w:id="3">
    <w:p w:rsidR="00D84622" w:rsidRPr="00A473FF" w:rsidRDefault="00D84622" w:rsidP="00C27D11">
      <w:pPr>
        <w:pStyle w:val="FootnoteText"/>
        <w:ind w:firstLine="720"/>
        <w:rPr>
          <w:sz w:val="24"/>
          <w:szCs w:val="24"/>
        </w:rPr>
      </w:pPr>
      <w:r w:rsidRPr="00A473FF">
        <w:rPr>
          <w:rStyle w:val="FootnoteReference"/>
          <w:sz w:val="24"/>
          <w:szCs w:val="24"/>
          <w:vertAlign w:val="superscript"/>
        </w:rPr>
        <w:footnoteRef/>
      </w:r>
      <w:r w:rsidRPr="00A473FF">
        <w:rPr>
          <w:sz w:val="24"/>
          <w:szCs w:val="24"/>
        </w:rPr>
        <w:t>Cantarutti alleges that the hearing transcript does not accurately reflect the trial testimony.  We do not address this contention because he failed to provide citations in his brief to the alleged inaccuracies.  (See Rules Proc. of State Bar, rule 302</w:t>
      </w:r>
      <w:r>
        <w:rPr>
          <w:sz w:val="24"/>
          <w:szCs w:val="24"/>
        </w:rPr>
        <w:t>(a)</w:t>
      </w:r>
      <w:r w:rsidRPr="00A473FF">
        <w:rPr>
          <w:sz w:val="24"/>
          <w:szCs w:val="24"/>
        </w:rPr>
        <w:t xml:space="preserve"> [appellant’s brief must include references to record to support claims].) </w:t>
      </w:r>
    </w:p>
  </w:footnote>
  <w:footnote w:id="4">
    <w:p w:rsidR="00D84622" w:rsidRPr="00A473FF" w:rsidRDefault="00D84622" w:rsidP="00166A8C">
      <w:pPr>
        <w:pStyle w:val="FootnoteText"/>
        <w:spacing w:after="120"/>
        <w:ind w:firstLine="720"/>
        <w:rPr>
          <w:sz w:val="24"/>
          <w:szCs w:val="24"/>
        </w:rPr>
      </w:pPr>
      <w:r w:rsidRPr="00A473FF">
        <w:rPr>
          <w:sz w:val="24"/>
          <w:szCs w:val="24"/>
          <w:vertAlign w:val="superscript"/>
        </w:rPr>
        <w:footnoteRef/>
      </w:r>
      <w:r w:rsidRPr="00A473FF">
        <w:rPr>
          <w:sz w:val="24"/>
          <w:szCs w:val="24"/>
        </w:rPr>
        <w:t xml:space="preserve">Rule 2-100(A) provides as follows:  “While representing a client, a member shall not communicate directly or indirectly about the subject of the representation with a party the member knows to be represented by another lawyer in the matter, unless the member has the consent of the other lawyer.”   </w:t>
      </w:r>
    </w:p>
  </w:footnote>
  <w:footnote w:id="5">
    <w:p w:rsidR="00D84622" w:rsidRPr="00A473FF" w:rsidRDefault="00D84622" w:rsidP="00A7244A">
      <w:pPr>
        <w:pStyle w:val="FootnoteText"/>
        <w:spacing w:after="120"/>
        <w:ind w:firstLine="720"/>
        <w:rPr>
          <w:sz w:val="24"/>
          <w:szCs w:val="24"/>
        </w:rPr>
      </w:pPr>
      <w:r w:rsidRPr="00A473FF">
        <w:rPr>
          <w:rStyle w:val="FootnoteReference"/>
          <w:sz w:val="24"/>
          <w:szCs w:val="24"/>
          <w:vertAlign w:val="superscript"/>
        </w:rPr>
        <w:footnoteRef/>
      </w:r>
      <w:r>
        <w:rPr>
          <w:sz w:val="24"/>
          <w:szCs w:val="24"/>
        </w:rPr>
        <w:t>S</w:t>
      </w:r>
      <w:r w:rsidRPr="00A473FF">
        <w:rPr>
          <w:sz w:val="24"/>
          <w:szCs w:val="24"/>
        </w:rPr>
        <w:t xml:space="preserve">ee also </w:t>
      </w:r>
      <w:r w:rsidRPr="00A473FF">
        <w:rPr>
          <w:i/>
          <w:sz w:val="24"/>
          <w:szCs w:val="24"/>
        </w:rPr>
        <w:t>Mitton v. State Bar</w:t>
      </w:r>
      <w:r w:rsidRPr="00A473FF">
        <w:rPr>
          <w:sz w:val="24"/>
          <w:szCs w:val="24"/>
        </w:rPr>
        <w:t xml:space="preserve"> (1969) 71 Cal.2d 525, 534 [The no</w:t>
      </w:r>
      <w:r>
        <w:rPr>
          <w:sz w:val="24"/>
          <w:szCs w:val="24"/>
        </w:rPr>
        <w:t>-</w:t>
      </w:r>
      <w:r w:rsidRPr="00A473FF">
        <w:rPr>
          <w:sz w:val="24"/>
          <w:szCs w:val="24"/>
        </w:rPr>
        <w:t xml:space="preserve">contact rule “was designed to permit an attorney to function adequately in his proper role and to prevent the opposing attorney from impeding his performance in such a role.”]; </w:t>
      </w:r>
      <w:r>
        <w:rPr>
          <w:i/>
          <w:sz w:val="24"/>
          <w:szCs w:val="24"/>
        </w:rPr>
        <w:t xml:space="preserve">In the Matter of Dale </w:t>
      </w:r>
      <w:r>
        <w:rPr>
          <w:sz w:val="24"/>
          <w:szCs w:val="24"/>
        </w:rPr>
        <w:t xml:space="preserve">(Review Dept. 2005) 4 Cal. State Bar Ct. Rptr. 798, 806, citing </w:t>
      </w:r>
      <w:r w:rsidRPr="00A473FF">
        <w:rPr>
          <w:i/>
          <w:sz w:val="24"/>
          <w:szCs w:val="24"/>
        </w:rPr>
        <w:t>U</w:t>
      </w:r>
      <w:r>
        <w:rPr>
          <w:i/>
          <w:sz w:val="24"/>
          <w:szCs w:val="24"/>
        </w:rPr>
        <w:t>nited</w:t>
      </w:r>
      <w:r w:rsidRPr="00A473FF">
        <w:rPr>
          <w:i/>
          <w:sz w:val="24"/>
          <w:szCs w:val="24"/>
        </w:rPr>
        <w:t xml:space="preserve"> S</w:t>
      </w:r>
      <w:r>
        <w:rPr>
          <w:i/>
          <w:sz w:val="24"/>
          <w:szCs w:val="24"/>
        </w:rPr>
        <w:t>tates</w:t>
      </w:r>
      <w:r w:rsidRPr="00A473FF">
        <w:rPr>
          <w:i/>
          <w:sz w:val="24"/>
          <w:szCs w:val="24"/>
        </w:rPr>
        <w:t xml:space="preserve"> v. Lopez</w:t>
      </w:r>
      <w:r>
        <w:rPr>
          <w:sz w:val="24"/>
          <w:szCs w:val="24"/>
        </w:rPr>
        <w:t xml:space="preserve"> </w:t>
      </w:r>
      <w:r w:rsidRPr="00A473FF">
        <w:rPr>
          <w:sz w:val="24"/>
          <w:szCs w:val="24"/>
        </w:rPr>
        <w:t>(</w:t>
      </w:r>
      <w:r>
        <w:rPr>
          <w:sz w:val="24"/>
          <w:szCs w:val="24"/>
        </w:rPr>
        <w:t>9th</w:t>
      </w:r>
      <w:r>
        <w:rPr>
          <w:sz w:val="24"/>
          <w:szCs w:val="24"/>
          <w:vertAlign w:val="superscript"/>
        </w:rPr>
        <w:t xml:space="preserve"> </w:t>
      </w:r>
      <w:r>
        <w:rPr>
          <w:sz w:val="24"/>
          <w:szCs w:val="24"/>
        </w:rPr>
        <w:t>Cir. 1993</w:t>
      </w:r>
      <w:r w:rsidRPr="00A473FF">
        <w:rPr>
          <w:sz w:val="24"/>
          <w:szCs w:val="24"/>
        </w:rPr>
        <w:t>) 4 F.</w:t>
      </w:r>
      <w:r>
        <w:rPr>
          <w:sz w:val="24"/>
          <w:szCs w:val="24"/>
        </w:rPr>
        <w:t>3</w:t>
      </w:r>
      <w:r w:rsidRPr="00A473FF">
        <w:rPr>
          <w:sz w:val="24"/>
          <w:szCs w:val="24"/>
        </w:rPr>
        <w:t xml:space="preserve">d 1455, 1459 [“The rule against communicating with a represented party without the consent of that  party’s counsel shields a party’s substantive interests against encroachment by opposing counsel and safeguards the relationship between the party and her attorney.”] </w:t>
      </w:r>
    </w:p>
  </w:footnote>
  <w:footnote w:id="6">
    <w:p w:rsidR="00D84622" w:rsidRPr="00A473FF" w:rsidRDefault="00D84622" w:rsidP="00D0038F">
      <w:pPr>
        <w:pStyle w:val="FootnoteText"/>
        <w:spacing w:after="120"/>
        <w:ind w:firstLine="720"/>
        <w:rPr>
          <w:sz w:val="24"/>
          <w:szCs w:val="24"/>
        </w:rPr>
      </w:pPr>
      <w:r w:rsidRPr="00A473FF">
        <w:rPr>
          <w:sz w:val="24"/>
          <w:szCs w:val="24"/>
          <w:vertAlign w:val="superscript"/>
        </w:rPr>
        <w:footnoteRef/>
      </w:r>
      <w:r w:rsidRPr="00A473FF">
        <w:rPr>
          <w:sz w:val="24"/>
          <w:szCs w:val="24"/>
        </w:rPr>
        <w:t>Section 1015 provides, in relevant part, that “When a plaintiff or a defendant, who has appeared, resides out of the state, and has no attorney in the action or proceeding, the service may be made on the clerk of the court, for that party. But in all cases where a party has an attorney in the action or proceeding, the service of papers, when required, must be upon the attorney instead of the party, except service of subpoenas, of writs, and other process issued in the suit, and of papers to bring the party into contempt…</w:t>
      </w:r>
      <w:r>
        <w:rPr>
          <w:sz w:val="24"/>
          <w:szCs w:val="24"/>
        </w:rPr>
        <w:t>.</w:t>
      </w:r>
      <w:r w:rsidRPr="00A473FF">
        <w:rPr>
          <w:sz w:val="24"/>
          <w:szCs w:val="24"/>
        </w:rPr>
        <w:t>”  Unless otherwise noted, all further references to “section(s)” are to the Code of Civil Procedure.</w:t>
      </w:r>
    </w:p>
  </w:footnote>
  <w:footnote w:id="7">
    <w:p w:rsidR="00D84622" w:rsidRPr="00A473FF" w:rsidRDefault="00D84622" w:rsidP="00D0038F">
      <w:pPr>
        <w:pStyle w:val="FootnoteText"/>
        <w:spacing w:after="120"/>
        <w:ind w:firstLine="720"/>
        <w:rPr>
          <w:sz w:val="24"/>
          <w:szCs w:val="24"/>
        </w:rPr>
      </w:pPr>
      <w:r w:rsidRPr="00A473FF">
        <w:rPr>
          <w:rStyle w:val="FootnoteReference"/>
          <w:sz w:val="24"/>
          <w:szCs w:val="24"/>
          <w:vertAlign w:val="superscript"/>
        </w:rPr>
        <w:footnoteRef/>
      </w:r>
      <w:r w:rsidRPr="00A473FF">
        <w:rPr>
          <w:sz w:val="24"/>
          <w:szCs w:val="24"/>
        </w:rPr>
        <w:t>Section 1010 provides</w:t>
      </w:r>
      <w:r>
        <w:rPr>
          <w:sz w:val="24"/>
          <w:szCs w:val="24"/>
        </w:rPr>
        <w:t>,</w:t>
      </w:r>
      <w:r w:rsidRPr="00A473FF">
        <w:rPr>
          <w:sz w:val="24"/>
          <w:szCs w:val="24"/>
        </w:rPr>
        <w:t xml:space="preserve"> </w:t>
      </w:r>
      <w:r>
        <w:rPr>
          <w:sz w:val="24"/>
          <w:szCs w:val="24"/>
        </w:rPr>
        <w:t xml:space="preserve">in relevant part, </w:t>
      </w:r>
      <w:r w:rsidRPr="00A473FF">
        <w:rPr>
          <w:sz w:val="24"/>
          <w:szCs w:val="24"/>
        </w:rPr>
        <w:t xml:space="preserve">that “Notices and other papers may be served upon the party or attorney in the manner prescribed in this Chapter when not otherwise provided by this Code.”    </w:t>
      </w:r>
    </w:p>
  </w:footnote>
  <w:footnote w:id="8">
    <w:p w:rsidR="00D84622" w:rsidRPr="00A473FF" w:rsidRDefault="00D84622" w:rsidP="00D0038F">
      <w:pPr>
        <w:pStyle w:val="FootnoteText"/>
        <w:spacing w:after="120"/>
        <w:ind w:firstLine="720"/>
        <w:rPr>
          <w:sz w:val="24"/>
          <w:szCs w:val="24"/>
        </w:rPr>
      </w:pPr>
      <w:r w:rsidRPr="00A473FF">
        <w:rPr>
          <w:rStyle w:val="FootnoteReference"/>
          <w:sz w:val="24"/>
          <w:szCs w:val="24"/>
          <w:vertAlign w:val="superscript"/>
        </w:rPr>
        <w:footnoteRef/>
      </w:r>
      <w:r w:rsidRPr="00A473FF">
        <w:rPr>
          <w:sz w:val="24"/>
          <w:szCs w:val="24"/>
        </w:rPr>
        <w:t>Section 1011 provides, in relevant part, that “service may be personal, by delivery to the party or attorney on whom service is required to be made. . . .”</w:t>
      </w:r>
    </w:p>
  </w:footnote>
  <w:footnote w:id="9">
    <w:p w:rsidR="00D84622" w:rsidRPr="00A473FF" w:rsidRDefault="00D84622" w:rsidP="00EF364C">
      <w:pPr>
        <w:pStyle w:val="FootnoteText"/>
        <w:ind w:firstLine="720"/>
        <w:rPr>
          <w:sz w:val="24"/>
          <w:szCs w:val="24"/>
        </w:rPr>
      </w:pPr>
      <w:r w:rsidRPr="00A473FF">
        <w:rPr>
          <w:rStyle w:val="FootnoteReference"/>
          <w:sz w:val="24"/>
          <w:szCs w:val="24"/>
          <w:vertAlign w:val="superscript"/>
        </w:rPr>
        <w:footnoteRef/>
      </w:r>
      <w:r w:rsidRPr="00A473FF">
        <w:rPr>
          <w:sz w:val="24"/>
          <w:szCs w:val="24"/>
        </w:rPr>
        <w:t>Section 1014 provides</w:t>
      </w:r>
      <w:r>
        <w:rPr>
          <w:sz w:val="24"/>
          <w:szCs w:val="24"/>
        </w:rPr>
        <w:t>, in relevant part,</w:t>
      </w:r>
      <w:r w:rsidRPr="00A473FF">
        <w:rPr>
          <w:sz w:val="24"/>
          <w:szCs w:val="24"/>
        </w:rPr>
        <w:t xml:space="preserve"> that “After appearance, a defendant or the defendant’s attorney is entitled to notice of all subsequent proceedings of which notice is required to be given.”</w:t>
      </w:r>
    </w:p>
  </w:footnote>
  <w:footnote w:id="10">
    <w:p w:rsidR="00D84622" w:rsidRPr="00A473FF" w:rsidRDefault="00D84622" w:rsidP="00395952">
      <w:pPr>
        <w:ind w:firstLine="720"/>
      </w:pPr>
      <w:r w:rsidRPr="00A473FF">
        <w:rPr>
          <w:rStyle w:val="FootnoteReference"/>
          <w:vertAlign w:val="superscript"/>
        </w:rPr>
        <w:footnoteRef/>
      </w:r>
      <w:r w:rsidRPr="00A473FF">
        <w:rPr>
          <w:vertAlign w:val="superscript"/>
        </w:rPr>
        <w:t xml:space="preserve"> </w:t>
      </w:r>
      <w:r w:rsidRPr="00A473FF">
        <w:t xml:space="preserve">“Whenever a document is required to be served on a party, the service must be made on the party’s attorney if the party is represented.”  </w:t>
      </w:r>
      <w:r>
        <w:t>(</w:t>
      </w:r>
      <w:r w:rsidRPr="00A473FF">
        <w:t>Cal. Rules of Court, rule 1.21</w:t>
      </w:r>
      <w:r>
        <w:t>(a).)</w:t>
      </w:r>
    </w:p>
  </w:footnote>
  <w:footnote w:id="11">
    <w:p w:rsidR="00D84622" w:rsidRDefault="00D84622" w:rsidP="00915172">
      <w:pPr>
        <w:pStyle w:val="FootnoteText"/>
        <w:ind w:firstLine="720"/>
      </w:pPr>
      <w:r w:rsidRPr="00915172">
        <w:rPr>
          <w:rStyle w:val="FootnoteReference"/>
          <w:sz w:val="24"/>
          <w:szCs w:val="24"/>
          <w:vertAlign w:val="superscript"/>
        </w:rPr>
        <w:footnoteRef/>
      </w:r>
      <w:r w:rsidRPr="00915172">
        <w:rPr>
          <w:sz w:val="24"/>
          <w:szCs w:val="24"/>
          <w:vertAlign w:val="superscript"/>
        </w:rPr>
        <w:t xml:space="preserve"> </w:t>
      </w:r>
      <w:r w:rsidRPr="00A473FF">
        <w:rPr>
          <w:sz w:val="24"/>
          <w:szCs w:val="24"/>
        </w:rPr>
        <w:t xml:space="preserve">Cantarutti </w:t>
      </w:r>
      <w:r>
        <w:rPr>
          <w:sz w:val="24"/>
          <w:szCs w:val="24"/>
        </w:rPr>
        <w:t xml:space="preserve">also </w:t>
      </w:r>
      <w:r w:rsidRPr="00A473FF">
        <w:rPr>
          <w:sz w:val="24"/>
          <w:szCs w:val="24"/>
        </w:rPr>
        <w:t xml:space="preserve">argues </w:t>
      </w:r>
      <w:r w:rsidR="006D4746">
        <w:rPr>
          <w:sz w:val="24"/>
          <w:szCs w:val="24"/>
        </w:rPr>
        <w:t xml:space="preserve">that </w:t>
      </w:r>
      <w:r w:rsidRPr="00A473FF">
        <w:rPr>
          <w:sz w:val="24"/>
          <w:szCs w:val="24"/>
        </w:rPr>
        <w:t xml:space="preserve">the trial court erred by “calling the notice …a letter.”  In fact, the </w:t>
      </w:r>
      <w:r>
        <w:rPr>
          <w:sz w:val="24"/>
          <w:szCs w:val="24"/>
        </w:rPr>
        <w:t xml:space="preserve">hearing </w:t>
      </w:r>
      <w:r w:rsidRPr="00A473FF">
        <w:rPr>
          <w:sz w:val="24"/>
          <w:szCs w:val="24"/>
        </w:rPr>
        <w:t xml:space="preserve">decision simply analogizes the notice to a letter </w:t>
      </w:r>
      <w:r>
        <w:rPr>
          <w:sz w:val="24"/>
          <w:szCs w:val="24"/>
        </w:rPr>
        <w:t>since</w:t>
      </w:r>
      <w:r w:rsidRPr="00A473FF">
        <w:rPr>
          <w:sz w:val="24"/>
          <w:szCs w:val="24"/>
        </w:rPr>
        <w:t xml:space="preserve"> both serve to communicate information.  Th</w:t>
      </w:r>
      <w:r>
        <w:rPr>
          <w:sz w:val="24"/>
          <w:szCs w:val="24"/>
        </w:rPr>
        <w:t>is</w:t>
      </w:r>
      <w:r w:rsidRPr="00A473FF">
        <w:rPr>
          <w:sz w:val="24"/>
          <w:szCs w:val="24"/>
        </w:rPr>
        <w:t xml:space="preserve"> comparison does not constitute error.  </w:t>
      </w:r>
    </w:p>
  </w:footnote>
  <w:footnote w:id="12">
    <w:p w:rsidR="00D84622" w:rsidRPr="00A473FF" w:rsidRDefault="00D84622" w:rsidP="00D0038F">
      <w:pPr>
        <w:pStyle w:val="FootnoteText"/>
        <w:spacing w:after="120"/>
        <w:ind w:firstLine="720"/>
        <w:rPr>
          <w:sz w:val="24"/>
          <w:szCs w:val="24"/>
        </w:rPr>
      </w:pPr>
      <w:r w:rsidRPr="00A473FF">
        <w:rPr>
          <w:rStyle w:val="FootnoteReference"/>
          <w:sz w:val="24"/>
          <w:szCs w:val="24"/>
          <w:vertAlign w:val="superscript"/>
        </w:rPr>
        <w:footnoteRef/>
      </w:r>
      <w:r>
        <w:rPr>
          <w:sz w:val="24"/>
          <w:szCs w:val="24"/>
        </w:rPr>
        <w:t xml:space="preserve">The State Bar alleges Major testified that Cantarutti called her office and apologized for </w:t>
      </w:r>
      <w:r>
        <w:rPr>
          <w:i/>
          <w:sz w:val="24"/>
          <w:szCs w:val="24"/>
        </w:rPr>
        <w:t xml:space="preserve">both </w:t>
      </w:r>
      <w:r>
        <w:rPr>
          <w:sz w:val="24"/>
          <w:szCs w:val="24"/>
        </w:rPr>
        <w:t xml:space="preserve">serving the notice </w:t>
      </w:r>
      <w:r>
        <w:rPr>
          <w:i/>
          <w:sz w:val="24"/>
          <w:szCs w:val="24"/>
        </w:rPr>
        <w:t xml:space="preserve">and </w:t>
      </w:r>
      <w:r>
        <w:rPr>
          <w:sz w:val="24"/>
          <w:szCs w:val="24"/>
        </w:rPr>
        <w:t>asking questions of Dawna.  The record does not support this contention.  In fact, Major testified that she could not recall details of her conversation with Cantarutti other than his general apology, and she did not specify whether the apology referenced serving the notice, asking questions of Dawna or both.</w:t>
      </w:r>
    </w:p>
  </w:footnote>
  <w:footnote w:id="13">
    <w:p w:rsidR="00D84622" w:rsidRPr="00A473FF" w:rsidRDefault="00D84622" w:rsidP="00395952">
      <w:pPr>
        <w:pStyle w:val="FootnoteText"/>
        <w:ind w:firstLine="720"/>
        <w:rPr>
          <w:sz w:val="24"/>
          <w:szCs w:val="24"/>
        </w:rPr>
      </w:pPr>
      <w:r w:rsidRPr="00A473FF">
        <w:rPr>
          <w:rStyle w:val="FootnoteReference"/>
          <w:sz w:val="24"/>
          <w:szCs w:val="24"/>
          <w:vertAlign w:val="superscript"/>
        </w:rPr>
        <w:footnoteRef/>
      </w:r>
      <w:r w:rsidRPr="00A473FF">
        <w:rPr>
          <w:sz w:val="24"/>
          <w:szCs w:val="24"/>
        </w:rPr>
        <w:t>Unless otherwise noted, all further references to “standards” are to the Rules of Procedure of the State Bar, title IV, Standards for Attorney Sanctions for Professional Misconduct.</w:t>
      </w:r>
    </w:p>
  </w:footnote>
  <w:footnote w:id="14">
    <w:p w:rsidR="00D84622" w:rsidRPr="00A473FF" w:rsidRDefault="00D84622" w:rsidP="00D0038F">
      <w:pPr>
        <w:spacing w:after="120"/>
        <w:ind w:firstLine="720"/>
      </w:pPr>
      <w:r w:rsidRPr="00A473FF">
        <w:rPr>
          <w:rStyle w:val="FootnoteReference"/>
          <w:vertAlign w:val="superscript"/>
        </w:rPr>
        <w:footnoteRef/>
      </w:r>
      <w:r w:rsidRPr="00A473FF">
        <w:t xml:space="preserve">Without any prior record of discipline, Cantarutti’s misconduct could warrant discipline ranging from reproval to three months’ actual suspension.  </w:t>
      </w:r>
      <w:proofErr w:type="gramStart"/>
      <w:r w:rsidRPr="00A473FF">
        <w:t xml:space="preserve">(See </w:t>
      </w:r>
      <w:r w:rsidRPr="00A473FF">
        <w:rPr>
          <w:i/>
        </w:rPr>
        <w:t>Abeles v. State Bar</w:t>
      </w:r>
      <w:r w:rsidRPr="00A473FF">
        <w:t xml:space="preserve"> (1973) 9 Cal.3d 603 [public reprimand]; </w:t>
      </w:r>
      <w:r w:rsidRPr="00A473FF">
        <w:rPr>
          <w:i/>
        </w:rPr>
        <w:t>Mitton v. State Bar</w:t>
      </w:r>
      <w:r>
        <w:rPr>
          <w:i/>
        </w:rPr>
        <w:t>, supra</w:t>
      </w:r>
      <w:r>
        <w:t>,</w:t>
      </w:r>
      <w:r w:rsidRPr="00A473FF">
        <w:t xml:space="preserve"> 71 Cal.2d 525</w:t>
      </w:r>
      <w:r>
        <w:t>, 534-535</w:t>
      </w:r>
      <w:r w:rsidRPr="00A473FF">
        <w:t xml:space="preserve"> [attorney’s communication with represented party “alone” justified three months’ actual suspension]; </w:t>
      </w:r>
      <w:r w:rsidRPr="00A473FF">
        <w:rPr>
          <w:i/>
        </w:rPr>
        <w:t>Turner v. State Bar</w:t>
      </w:r>
      <w:r w:rsidRPr="00A473FF">
        <w:t xml:space="preserve"> (1950) 36 Cal.2d 155 [three months’ actual suspension].)</w:t>
      </w:r>
      <w:proofErr w:type="gramEnd"/>
      <w:r w:rsidRPr="00A473FF">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13B93"/>
    <w:multiLevelType w:val="hybridMultilevel"/>
    <w:tmpl w:val="B78E4FC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1A9F0126"/>
    <w:multiLevelType w:val="hybridMultilevel"/>
    <w:tmpl w:val="5C269B4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1B7A5207"/>
    <w:multiLevelType w:val="hybridMultilevel"/>
    <w:tmpl w:val="DCBA834A"/>
    <w:lvl w:ilvl="0" w:tplc="462EE5D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26AE0A1D"/>
    <w:multiLevelType w:val="hybridMultilevel"/>
    <w:tmpl w:val="44B09AE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26ED19F1"/>
    <w:multiLevelType w:val="hybridMultilevel"/>
    <w:tmpl w:val="34FE75F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486D3DAF"/>
    <w:multiLevelType w:val="hybridMultilevel"/>
    <w:tmpl w:val="1DD2480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66BA3A59"/>
    <w:multiLevelType w:val="hybridMultilevel"/>
    <w:tmpl w:val="788CFC0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6B557109"/>
    <w:multiLevelType w:val="hybridMultilevel"/>
    <w:tmpl w:val="5A54A8A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21618D9"/>
    <w:multiLevelType w:val="hybridMultilevel"/>
    <w:tmpl w:val="BF247FC6"/>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7D1D1A24"/>
    <w:multiLevelType w:val="hybridMultilevel"/>
    <w:tmpl w:val="648008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7"/>
  </w:num>
  <w:num w:numId="4">
    <w:abstractNumId w:val="2"/>
  </w:num>
  <w:num w:numId="5">
    <w:abstractNumId w:val="3"/>
  </w:num>
  <w:num w:numId="6">
    <w:abstractNumId w:val="6"/>
  </w:num>
  <w:num w:numId="7">
    <w:abstractNumId w:val="5"/>
  </w:num>
  <w:num w:numId="8">
    <w:abstractNumId w:val="8"/>
  </w:num>
  <w:num w:numId="9">
    <w:abstractNumId w:val="1"/>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footnotePr>
    <w:footnote w:id="-1"/>
    <w:footnote w:id="0"/>
  </w:footnotePr>
  <w:endnotePr>
    <w:endnote w:id="-1"/>
    <w:endnote w:id="0"/>
  </w:endnotePr>
  <w:compat/>
  <w:rsids>
    <w:rsidRoot w:val="000410D0"/>
    <w:rsid w:val="00003EEF"/>
    <w:rsid w:val="00011F12"/>
    <w:rsid w:val="00013CC5"/>
    <w:rsid w:val="00014FE0"/>
    <w:rsid w:val="0002026F"/>
    <w:rsid w:val="00020518"/>
    <w:rsid w:val="000237C7"/>
    <w:rsid w:val="0003179D"/>
    <w:rsid w:val="000410D0"/>
    <w:rsid w:val="000437B2"/>
    <w:rsid w:val="00043F9E"/>
    <w:rsid w:val="00046D2E"/>
    <w:rsid w:val="00054F2A"/>
    <w:rsid w:val="000567E1"/>
    <w:rsid w:val="000661A8"/>
    <w:rsid w:val="00066FE3"/>
    <w:rsid w:val="00067A37"/>
    <w:rsid w:val="00070B03"/>
    <w:rsid w:val="0007585D"/>
    <w:rsid w:val="00080968"/>
    <w:rsid w:val="00081E24"/>
    <w:rsid w:val="000850BE"/>
    <w:rsid w:val="00086198"/>
    <w:rsid w:val="00096436"/>
    <w:rsid w:val="000A05C6"/>
    <w:rsid w:val="000C2B3E"/>
    <w:rsid w:val="000C4F90"/>
    <w:rsid w:val="000C5558"/>
    <w:rsid w:val="000C58B1"/>
    <w:rsid w:val="001016C6"/>
    <w:rsid w:val="00102260"/>
    <w:rsid w:val="00103E40"/>
    <w:rsid w:val="001078F0"/>
    <w:rsid w:val="00120541"/>
    <w:rsid w:val="00120C76"/>
    <w:rsid w:val="00125D1B"/>
    <w:rsid w:val="00126B8B"/>
    <w:rsid w:val="00142F43"/>
    <w:rsid w:val="00144180"/>
    <w:rsid w:val="00144BB3"/>
    <w:rsid w:val="001469C5"/>
    <w:rsid w:val="001502A3"/>
    <w:rsid w:val="0015360F"/>
    <w:rsid w:val="00153BDE"/>
    <w:rsid w:val="001541CD"/>
    <w:rsid w:val="001550BA"/>
    <w:rsid w:val="00164BEA"/>
    <w:rsid w:val="0016674A"/>
    <w:rsid w:val="00166A8C"/>
    <w:rsid w:val="0018366E"/>
    <w:rsid w:val="001845C2"/>
    <w:rsid w:val="00190545"/>
    <w:rsid w:val="001908B1"/>
    <w:rsid w:val="001908ED"/>
    <w:rsid w:val="00194CE8"/>
    <w:rsid w:val="001A1992"/>
    <w:rsid w:val="001B417F"/>
    <w:rsid w:val="001B5B2A"/>
    <w:rsid w:val="001B6943"/>
    <w:rsid w:val="001C00FE"/>
    <w:rsid w:val="001C43F7"/>
    <w:rsid w:val="001D02F4"/>
    <w:rsid w:val="001D3C81"/>
    <w:rsid w:val="001D5380"/>
    <w:rsid w:val="001D5FF0"/>
    <w:rsid w:val="001D7EC0"/>
    <w:rsid w:val="001E11A4"/>
    <w:rsid w:val="001E3072"/>
    <w:rsid w:val="001F266C"/>
    <w:rsid w:val="001F2894"/>
    <w:rsid w:val="001F54A1"/>
    <w:rsid w:val="001F6A50"/>
    <w:rsid w:val="002010C4"/>
    <w:rsid w:val="002020E2"/>
    <w:rsid w:val="002059C0"/>
    <w:rsid w:val="00206EE1"/>
    <w:rsid w:val="00212481"/>
    <w:rsid w:val="0021309B"/>
    <w:rsid w:val="00214831"/>
    <w:rsid w:val="00214FC1"/>
    <w:rsid w:val="00215832"/>
    <w:rsid w:val="002163E2"/>
    <w:rsid w:val="00216703"/>
    <w:rsid w:val="00224428"/>
    <w:rsid w:val="00225CBA"/>
    <w:rsid w:val="0022623C"/>
    <w:rsid w:val="00226D0C"/>
    <w:rsid w:val="00234755"/>
    <w:rsid w:val="002375B1"/>
    <w:rsid w:val="00250350"/>
    <w:rsid w:val="00250FD0"/>
    <w:rsid w:val="0025628D"/>
    <w:rsid w:val="00256D7C"/>
    <w:rsid w:val="00257430"/>
    <w:rsid w:val="0026281D"/>
    <w:rsid w:val="00267476"/>
    <w:rsid w:val="00271744"/>
    <w:rsid w:val="0027402E"/>
    <w:rsid w:val="00275ED6"/>
    <w:rsid w:val="00275F98"/>
    <w:rsid w:val="0027610A"/>
    <w:rsid w:val="002849A3"/>
    <w:rsid w:val="002866EC"/>
    <w:rsid w:val="00287E4D"/>
    <w:rsid w:val="002909F2"/>
    <w:rsid w:val="00295404"/>
    <w:rsid w:val="00295A0F"/>
    <w:rsid w:val="002A2EA8"/>
    <w:rsid w:val="002B04EC"/>
    <w:rsid w:val="002B13DB"/>
    <w:rsid w:val="002B2F50"/>
    <w:rsid w:val="002B5B03"/>
    <w:rsid w:val="002B5C50"/>
    <w:rsid w:val="002B7AD3"/>
    <w:rsid w:val="002C07EE"/>
    <w:rsid w:val="002C3B4E"/>
    <w:rsid w:val="002C76B4"/>
    <w:rsid w:val="002C7D43"/>
    <w:rsid w:val="002D400C"/>
    <w:rsid w:val="002E1D24"/>
    <w:rsid w:val="002F1796"/>
    <w:rsid w:val="00300264"/>
    <w:rsid w:val="00304C53"/>
    <w:rsid w:val="0031215C"/>
    <w:rsid w:val="003223D3"/>
    <w:rsid w:val="003232E7"/>
    <w:rsid w:val="00326F5C"/>
    <w:rsid w:val="003313E4"/>
    <w:rsid w:val="0033523E"/>
    <w:rsid w:val="003360E4"/>
    <w:rsid w:val="00345819"/>
    <w:rsid w:val="00353548"/>
    <w:rsid w:val="0035502A"/>
    <w:rsid w:val="00355C30"/>
    <w:rsid w:val="00356774"/>
    <w:rsid w:val="00356D16"/>
    <w:rsid w:val="00360FF3"/>
    <w:rsid w:val="00375FB9"/>
    <w:rsid w:val="00383304"/>
    <w:rsid w:val="00386072"/>
    <w:rsid w:val="00391922"/>
    <w:rsid w:val="00391E6C"/>
    <w:rsid w:val="003949A5"/>
    <w:rsid w:val="00394D91"/>
    <w:rsid w:val="00395952"/>
    <w:rsid w:val="003A45A4"/>
    <w:rsid w:val="003A6711"/>
    <w:rsid w:val="003C00E0"/>
    <w:rsid w:val="003C1046"/>
    <w:rsid w:val="003C208D"/>
    <w:rsid w:val="003C5095"/>
    <w:rsid w:val="003D13B0"/>
    <w:rsid w:val="003D1D78"/>
    <w:rsid w:val="003D3012"/>
    <w:rsid w:val="003D7956"/>
    <w:rsid w:val="003E3B9B"/>
    <w:rsid w:val="003F7A0A"/>
    <w:rsid w:val="004007A2"/>
    <w:rsid w:val="004313DD"/>
    <w:rsid w:val="00432177"/>
    <w:rsid w:val="004347F8"/>
    <w:rsid w:val="00444AB4"/>
    <w:rsid w:val="00447FD7"/>
    <w:rsid w:val="00450875"/>
    <w:rsid w:val="00451C7A"/>
    <w:rsid w:val="00453FC8"/>
    <w:rsid w:val="00455F99"/>
    <w:rsid w:val="00457757"/>
    <w:rsid w:val="004601B3"/>
    <w:rsid w:val="004835FB"/>
    <w:rsid w:val="00484AE9"/>
    <w:rsid w:val="00484F80"/>
    <w:rsid w:val="00491A49"/>
    <w:rsid w:val="00492E28"/>
    <w:rsid w:val="00494416"/>
    <w:rsid w:val="004A13A9"/>
    <w:rsid w:val="004A4B6A"/>
    <w:rsid w:val="004B101F"/>
    <w:rsid w:val="004B1E0F"/>
    <w:rsid w:val="004C1612"/>
    <w:rsid w:val="004C3393"/>
    <w:rsid w:val="004D2586"/>
    <w:rsid w:val="004D5C73"/>
    <w:rsid w:val="004E428A"/>
    <w:rsid w:val="004F2F9E"/>
    <w:rsid w:val="004F6836"/>
    <w:rsid w:val="00540C5B"/>
    <w:rsid w:val="00540F6D"/>
    <w:rsid w:val="00541A0B"/>
    <w:rsid w:val="00545C6A"/>
    <w:rsid w:val="00545E53"/>
    <w:rsid w:val="00563D73"/>
    <w:rsid w:val="00567CFE"/>
    <w:rsid w:val="00572B8F"/>
    <w:rsid w:val="0057323F"/>
    <w:rsid w:val="00575700"/>
    <w:rsid w:val="005766B5"/>
    <w:rsid w:val="005774D5"/>
    <w:rsid w:val="005804CF"/>
    <w:rsid w:val="00585111"/>
    <w:rsid w:val="005858BB"/>
    <w:rsid w:val="005900FD"/>
    <w:rsid w:val="005956AA"/>
    <w:rsid w:val="005A2015"/>
    <w:rsid w:val="005A252C"/>
    <w:rsid w:val="005A5598"/>
    <w:rsid w:val="005B072E"/>
    <w:rsid w:val="005B1F05"/>
    <w:rsid w:val="005B2B28"/>
    <w:rsid w:val="005B2D8A"/>
    <w:rsid w:val="005B3F37"/>
    <w:rsid w:val="005C166E"/>
    <w:rsid w:val="005C45AE"/>
    <w:rsid w:val="005C607C"/>
    <w:rsid w:val="005C7C09"/>
    <w:rsid w:val="005D162A"/>
    <w:rsid w:val="005D23A4"/>
    <w:rsid w:val="005D46FA"/>
    <w:rsid w:val="005E0C1F"/>
    <w:rsid w:val="005E1475"/>
    <w:rsid w:val="005E526C"/>
    <w:rsid w:val="005F4119"/>
    <w:rsid w:val="005F7DEA"/>
    <w:rsid w:val="00600386"/>
    <w:rsid w:val="00612D21"/>
    <w:rsid w:val="00621E04"/>
    <w:rsid w:val="00627A26"/>
    <w:rsid w:val="0063128B"/>
    <w:rsid w:val="0063425B"/>
    <w:rsid w:val="00640C74"/>
    <w:rsid w:val="00644A39"/>
    <w:rsid w:val="00654459"/>
    <w:rsid w:val="006573D0"/>
    <w:rsid w:val="00660D73"/>
    <w:rsid w:val="006755BC"/>
    <w:rsid w:val="006764FC"/>
    <w:rsid w:val="00687FF5"/>
    <w:rsid w:val="00691215"/>
    <w:rsid w:val="006A0F7B"/>
    <w:rsid w:val="006A58CA"/>
    <w:rsid w:val="006B30AF"/>
    <w:rsid w:val="006D09A4"/>
    <w:rsid w:val="006D2B5E"/>
    <w:rsid w:val="006D2C6B"/>
    <w:rsid w:val="006D3AED"/>
    <w:rsid w:val="006D4746"/>
    <w:rsid w:val="006D55C6"/>
    <w:rsid w:val="006F12D6"/>
    <w:rsid w:val="006F74F5"/>
    <w:rsid w:val="00702B66"/>
    <w:rsid w:val="0070512F"/>
    <w:rsid w:val="007154EF"/>
    <w:rsid w:val="007159E9"/>
    <w:rsid w:val="00715C6E"/>
    <w:rsid w:val="007179AA"/>
    <w:rsid w:val="007221BA"/>
    <w:rsid w:val="00722548"/>
    <w:rsid w:val="00722EDF"/>
    <w:rsid w:val="00724025"/>
    <w:rsid w:val="00726142"/>
    <w:rsid w:val="00726AB0"/>
    <w:rsid w:val="00726B67"/>
    <w:rsid w:val="00727FB1"/>
    <w:rsid w:val="00734AD2"/>
    <w:rsid w:val="00736B86"/>
    <w:rsid w:val="007373F2"/>
    <w:rsid w:val="007464D5"/>
    <w:rsid w:val="007514E1"/>
    <w:rsid w:val="00751F40"/>
    <w:rsid w:val="00756B6C"/>
    <w:rsid w:val="00767BE5"/>
    <w:rsid w:val="00782472"/>
    <w:rsid w:val="00783361"/>
    <w:rsid w:val="0078351C"/>
    <w:rsid w:val="0078455B"/>
    <w:rsid w:val="00795DF3"/>
    <w:rsid w:val="007964E4"/>
    <w:rsid w:val="00796991"/>
    <w:rsid w:val="00797C8B"/>
    <w:rsid w:val="007A0E09"/>
    <w:rsid w:val="007A45DC"/>
    <w:rsid w:val="007B3C93"/>
    <w:rsid w:val="007C6C28"/>
    <w:rsid w:val="007C768A"/>
    <w:rsid w:val="007D28AA"/>
    <w:rsid w:val="007D7741"/>
    <w:rsid w:val="007D7943"/>
    <w:rsid w:val="007E397B"/>
    <w:rsid w:val="007E40C3"/>
    <w:rsid w:val="007E4396"/>
    <w:rsid w:val="007F1D34"/>
    <w:rsid w:val="007F45F1"/>
    <w:rsid w:val="007F56F5"/>
    <w:rsid w:val="007F623E"/>
    <w:rsid w:val="0080020F"/>
    <w:rsid w:val="00800E6A"/>
    <w:rsid w:val="00817A36"/>
    <w:rsid w:val="0082140E"/>
    <w:rsid w:val="008273AE"/>
    <w:rsid w:val="00830D1F"/>
    <w:rsid w:val="00834C47"/>
    <w:rsid w:val="00840CA7"/>
    <w:rsid w:val="00846DCB"/>
    <w:rsid w:val="00853659"/>
    <w:rsid w:val="00861EFF"/>
    <w:rsid w:val="008658C5"/>
    <w:rsid w:val="008658F6"/>
    <w:rsid w:val="008707E4"/>
    <w:rsid w:val="00886EA2"/>
    <w:rsid w:val="00891AAF"/>
    <w:rsid w:val="008958AB"/>
    <w:rsid w:val="008959D0"/>
    <w:rsid w:val="008A4492"/>
    <w:rsid w:val="008B2657"/>
    <w:rsid w:val="008C58A0"/>
    <w:rsid w:val="0090321C"/>
    <w:rsid w:val="00905B98"/>
    <w:rsid w:val="00905D84"/>
    <w:rsid w:val="00915172"/>
    <w:rsid w:val="009166EC"/>
    <w:rsid w:val="00921824"/>
    <w:rsid w:val="00933279"/>
    <w:rsid w:val="00933B73"/>
    <w:rsid w:val="00934FB1"/>
    <w:rsid w:val="009417E5"/>
    <w:rsid w:val="00941AD8"/>
    <w:rsid w:val="009515B3"/>
    <w:rsid w:val="009619B6"/>
    <w:rsid w:val="00963E67"/>
    <w:rsid w:val="0096464A"/>
    <w:rsid w:val="00965BE6"/>
    <w:rsid w:val="00966BEA"/>
    <w:rsid w:val="00967D47"/>
    <w:rsid w:val="0097028F"/>
    <w:rsid w:val="009708FD"/>
    <w:rsid w:val="0097794C"/>
    <w:rsid w:val="00984AD3"/>
    <w:rsid w:val="00994912"/>
    <w:rsid w:val="009A28C4"/>
    <w:rsid w:val="009A4F62"/>
    <w:rsid w:val="009A5E2D"/>
    <w:rsid w:val="009C1D7C"/>
    <w:rsid w:val="009D11CE"/>
    <w:rsid w:val="009D4C8F"/>
    <w:rsid w:val="009D7FB0"/>
    <w:rsid w:val="009E19E2"/>
    <w:rsid w:val="009E1A96"/>
    <w:rsid w:val="009E2710"/>
    <w:rsid w:val="009E354C"/>
    <w:rsid w:val="009E7A81"/>
    <w:rsid w:val="009F2B82"/>
    <w:rsid w:val="009F3F3E"/>
    <w:rsid w:val="009F74FB"/>
    <w:rsid w:val="00A01B01"/>
    <w:rsid w:val="00A02927"/>
    <w:rsid w:val="00A04B7B"/>
    <w:rsid w:val="00A07E50"/>
    <w:rsid w:val="00A112B2"/>
    <w:rsid w:val="00A16FC2"/>
    <w:rsid w:val="00A23D11"/>
    <w:rsid w:val="00A2613C"/>
    <w:rsid w:val="00A31D64"/>
    <w:rsid w:val="00A33DA3"/>
    <w:rsid w:val="00A3722B"/>
    <w:rsid w:val="00A37F63"/>
    <w:rsid w:val="00A421B7"/>
    <w:rsid w:val="00A43961"/>
    <w:rsid w:val="00A473FF"/>
    <w:rsid w:val="00A506A8"/>
    <w:rsid w:val="00A57CA5"/>
    <w:rsid w:val="00A628B6"/>
    <w:rsid w:val="00A7244A"/>
    <w:rsid w:val="00A77E80"/>
    <w:rsid w:val="00A83D8C"/>
    <w:rsid w:val="00A83F77"/>
    <w:rsid w:val="00A8676E"/>
    <w:rsid w:val="00A90C60"/>
    <w:rsid w:val="00A916B1"/>
    <w:rsid w:val="00A9202F"/>
    <w:rsid w:val="00AA7C53"/>
    <w:rsid w:val="00AB4B8B"/>
    <w:rsid w:val="00AB61D6"/>
    <w:rsid w:val="00AB73F8"/>
    <w:rsid w:val="00AC22AC"/>
    <w:rsid w:val="00AC2E29"/>
    <w:rsid w:val="00AD3EEA"/>
    <w:rsid w:val="00AE299A"/>
    <w:rsid w:val="00AE3ABE"/>
    <w:rsid w:val="00AF02F8"/>
    <w:rsid w:val="00AF180E"/>
    <w:rsid w:val="00AF6EEF"/>
    <w:rsid w:val="00B022B0"/>
    <w:rsid w:val="00B0231F"/>
    <w:rsid w:val="00B03A5D"/>
    <w:rsid w:val="00B03E34"/>
    <w:rsid w:val="00B04146"/>
    <w:rsid w:val="00B07627"/>
    <w:rsid w:val="00B07F3C"/>
    <w:rsid w:val="00B12331"/>
    <w:rsid w:val="00B123F2"/>
    <w:rsid w:val="00B168F6"/>
    <w:rsid w:val="00B3380E"/>
    <w:rsid w:val="00B377D5"/>
    <w:rsid w:val="00B410E2"/>
    <w:rsid w:val="00B4713C"/>
    <w:rsid w:val="00B5513C"/>
    <w:rsid w:val="00B56BFB"/>
    <w:rsid w:val="00B67754"/>
    <w:rsid w:val="00B72E09"/>
    <w:rsid w:val="00B7385B"/>
    <w:rsid w:val="00B822E4"/>
    <w:rsid w:val="00B91F91"/>
    <w:rsid w:val="00B9750D"/>
    <w:rsid w:val="00B97764"/>
    <w:rsid w:val="00BA4113"/>
    <w:rsid w:val="00BA56C1"/>
    <w:rsid w:val="00BA79B9"/>
    <w:rsid w:val="00BB265A"/>
    <w:rsid w:val="00BB2B65"/>
    <w:rsid w:val="00BB37B7"/>
    <w:rsid w:val="00BC039C"/>
    <w:rsid w:val="00BC33C9"/>
    <w:rsid w:val="00BC3682"/>
    <w:rsid w:val="00BC43A5"/>
    <w:rsid w:val="00BD107E"/>
    <w:rsid w:val="00BD32DD"/>
    <w:rsid w:val="00BD64B4"/>
    <w:rsid w:val="00BE1CAC"/>
    <w:rsid w:val="00BE2F1A"/>
    <w:rsid w:val="00BF249A"/>
    <w:rsid w:val="00BF3B3B"/>
    <w:rsid w:val="00BF6AA8"/>
    <w:rsid w:val="00C01A24"/>
    <w:rsid w:val="00C01E5C"/>
    <w:rsid w:val="00C0235D"/>
    <w:rsid w:val="00C068E9"/>
    <w:rsid w:val="00C10CE2"/>
    <w:rsid w:val="00C17829"/>
    <w:rsid w:val="00C20780"/>
    <w:rsid w:val="00C21585"/>
    <w:rsid w:val="00C22CA3"/>
    <w:rsid w:val="00C27D11"/>
    <w:rsid w:val="00C27FC5"/>
    <w:rsid w:val="00C336A9"/>
    <w:rsid w:val="00C33EBA"/>
    <w:rsid w:val="00C33EDC"/>
    <w:rsid w:val="00C35EAF"/>
    <w:rsid w:val="00C411E0"/>
    <w:rsid w:val="00C43A2C"/>
    <w:rsid w:val="00C45525"/>
    <w:rsid w:val="00C46296"/>
    <w:rsid w:val="00C50C1E"/>
    <w:rsid w:val="00C54CEA"/>
    <w:rsid w:val="00C71CB8"/>
    <w:rsid w:val="00C7465C"/>
    <w:rsid w:val="00C75517"/>
    <w:rsid w:val="00C776B4"/>
    <w:rsid w:val="00C80907"/>
    <w:rsid w:val="00C81262"/>
    <w:rsid w:val="00C82680"/>
    <w:rsid w:val="00C85ECC"/>
    <w:rsid w:val="00C92E90"/>
    <w:rsid w:val="00C93C10"/>
    <w:rsid w:val="00C93D0E"/>
    <w:rsid w:val="00CA2376"/>
    <w:rsid w:val="00CB0040"/>
    <w:rsid w:val="00CB404D"/>
    <w:rsid w:val="00CB7D2E"/>
    <w:rsid w:val="00CC0CA4"/>
    <w:rsid w:val="00CC2773"/>
    <w:rsid w:val="00CC3737"/>
    <w:rsid w:val="00CC6748"/>
    <w:rsid w:val="00CD1C00"/>
    <w:rsid w:val="00CD393B"/>
    <w:rsid w:val="00CE5D57"/>
    <w:rsid w:val="00CE6289"/>
    <w:rsid w:val="00CF0655"/>
    <w:rsid w:val="00CF2288"/>
    <w:rsid w:val="00D0038F"/>
    <w:rsid w:val="00D01601"/>
    <w:rsid w:val="00D12C6C"/>
    <w:rsid w:val="00D14C38"/>
    <w:rsid w:val="00D215CA"/>
    <w:rsid w:val="00D31BF6"/>
    <w:rsid w:val="00D3257A"/>
    <w:rsid w:val="00D42505"/>
    <w:rsid w:val="00D46774"/>
    <w:rsid w:val="00D5002F"/>
    <w:rsid w:val="00D50DCC"/>
    <w:rsid w:val="00D54917"/>
    <w:rsid w:val="00D54FBE"/>
    <w:rsid w:val="00D56A77"/>
    <w:rsid w:val="00D56F03"/>
    <w:rsid w:val="00D57280"/>
    <w:rsid w:val="00D653E7"/>
    <w:rsid w:val="00D74448"/>
    <w:rsid w:val="00D7644A"/>
    <w:rsid w:val="00D80046"/>
    <w:rsid w:val="00D82048"/>
    <w:rsid w:val="00D829ED"/>
    <w:rsid w:val="00D84622"/>
    <w:rsid w:val="00D85276"/>
    <w:rsid w:val="00D86899"/>
    <w:rsid w:val="00D974EB"/>
    <w:rsid w:val="00DA1CFF"/>
    <w:rsid w:val="00DB7FB7"/>
    <w:rsid w:val="00DC119B"/>
    <w:rsid w:val="00DC4F35"/>
    <w:rsid w:val="00DC78B6"/>
    <w:rsid w:val="00DD1F1D"/>
    <w:rsid w:val="00DD3B94"/>
    <w:rsid w:val="00DD4FC6"/>
    <w:rsid w:val="00DF1DE5"/>
    <w:rsid w:val="00DF3D80"/>
    <w:rsid w:val="00DF3F1B"/>
    <w:rsid w:val="00E00531"/>
    <w:rsid w:val="00E07183"/>
    <w:rsid w:val="00E25720"/>
    <w:rsid w:val="00E259DA"/>
    <w:rsid w:val="00E27AEB"/>
    <w:rsid w:val="00E32FD3"/>
    <w:rsid w:val="00E344DA"/>
    <w:rsid w:val="00E37325"/>
    <w:rsid w:val="00E568C5"/>
    <w:rsid w:val="00E56E85"/>
    <w:rsid w:val="00E61EB7"/>
    <w:rsid w:val="00E62C42"/>
    <w:rsid w:val="00E66D77"/>
    <w:rsid w:val="00E707D2"/>
    <w:rsid w:val="00E8149F"/>
    <w:rsid w:val="00E816C2"/>
    <w:rsid w:val="00E84AA3"/>
    <w:rsid w:val="00E8524D"/>
    <w:rsid w:val="00E86909"/>
    <w:rsid w:val="00E921C3"/>
    <w:rsid w:val="00E92E9D"/>
    <w:rsid w:val="00E92FEC"/>
    <w:rsid w:val="00E95682"/>
    <w:rsid w:val="00EA0954"/>
    <w:rsid w:val="00EA36F6"/>
    <w:rsid w:val="00EB0518"/>
    <w:rsid w:val="00EB7793"/>
    <w:rsid w:val="00EC1DE5"/>
    <w:rsid w:val="00EC60B3"/>
    <w:rsid w:val="00ED4202"/>
    <w:rsid w:val="00ED51C1"/>
    <w:rsid w:val="00ED7239"/>
    <w:rsid w:val="00EE0FE8"/>
    <w:rsid w:val="00EE322A"/>
    <w:rsid w:val="00EE6639"/>
    <w:rsid w:val="00EF1ACC"/>
    <w:rsid w:val="00EF241C"/>
    <w:rsid w:val="00EF364C"/>
    <w:rsid w:val="00EF6404"/>
    <w:rsid w:val="00F02485"/>
    <w:rsid w:val="00F17506"/>
    <w:rsid w:val="00F17F34"/>
    <w:rsid w:val="00F330F9"/>
    <w:rsid w:val="00F51697"/>
    <w:rsid w:val="00F55D02"/>
    <w:rsid w:val="00F573BC"/>
    <w:rsid w:val="00F61F2F"/>
    <w:rsid w:val="00F62CE5"/>
    <w:rsid w:val="00F66B2F"/>
    <w:rsid w:val="00F758CF"/>
    <w:rsid w:val="00F75C13"/>
    <w:rsid w:val="00F828C5"/>
    <w:rsid w:val="00F941EF"/>
    <w:rsid w:val="00F9488E"/>
    <w:rsid w:val="00FA16B3"/>
    <w:rsid w:val="00FA2CEB"/>
    <w:rsid w:val="00FA5F0E"/>
    <w:rsid w:val="00FA6A23"/>
    <w:rsid w:val="00FB1189"/>
    <w:rsid w:val="00FB1B82"/>
    <w:rsid w:val="00FB1BE5"/>
    <w:rsid w:val="00FB2C8C"/>
    <w:rsid w:val="00FC05F5"/>
    <w:rsid w:val="00FC1245"/>
    <w:rsid w:val="00FC39FB"/>
    <w:rsid w:val="00FC571D"/>
    <w:rsid w:val="00FD2266"/>
    <w:rsid w:val="00FD4FCD"/>
    <w:rsid w:val="00FE0A5E"/>
    <w:rsid w:val="00FF20F0"/>
    <w:rsid w:val="00FF3948"/>
    <w:rsid w:val="00FF39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10D0"/>
    <w:pPr>
      <w:widowControl w:val="0"/>
      <w:autoSpaceDE w:val="0"/>
      <w:autoSpaceDN w:val="0"/>
      <w:adjustRightInd w:val="0"/>
    </w:pPr>
    <w:rPr>
      <w:rFonts w:ascii="Times New Roman" w:eastAsia="Times New Roman" w:hAnsi="Times New Roman"/>
      <w:sz w:val="24"/>
      <w:szCs w:val="24"/>
    </w:rPr>
  </w:style>
  <w:style w:type="paragraph" w:styleId="Heading1">
    <w:name w:val="heading 1"/>
    <w:basedOn w:val="Normal"/>
    <w:next w:val="Normal"/>
    <w:link w:val="Heading1Char"/>
    <w:uiPriority w:val="99"/>
    <w:qFormat/>
    <w:rsid w:val="003232E7"/>
    <w:pPr>
      <w:keepNext/>
      <w:widowControl/>
      <w:autoSpaceDE/>
      <w:autoSpaceDN/>
      <w:adjustRightInd/>
      <w:spacing w:line="480" w:lineRule="auto"/>
      <w:jc w:val="center"/>
      <w:outlineLvl w:val="0"/>
    </w:pPr>
    <w:rPr>
      <w:b/>
      <w:bCs/>
      <w:caps/>
    </w:rPr>
  </w:style>
  <w:style w:type="paragraph" w:styleId="Heading3">
    <w:name w:val="heading 3"/>
    <w:basedOn w:val="Normal"/>
    <w:next w:val="Normal"/>
    <w:link w:val="Heading3Char"/>
    <w:uiPriority w:val="99"/>
    <w:qFormat/>
    <w:rsid w:val="009166EC"/>
    <w:pPr>
      <w:keepNext/>
      <w:keepLines/>
      <w:widowControl/>
      <w:autoSpaceDE/>
      <w:autoSpaceDN/>
      <w:adjustRightInd/>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32E7"/>
    <w:rPr>
      <w:rFonts w:ascii="Times New Roman" w:hAnsi="Times New Roman" w:cs="Times New Roman"/>
      <w:b/>
      <w:bCs/>
      <w:caps/>
      <w:sz w:val="24"/>
      <w:szCs w:val="24"/>
    </w:rPr>
  </w:style>
  <w:style w:type="character" w:customStyle="1" w:styleId="Heading3Char">
    <w:name w:val="Heading 3 Char"/>
    <w:basedOn w:val="DefaultParagraphFont"/>
    <w:link w:val="Heading3"/>
    <w:uiPriority w:val="99"/>
    <w:semiHidden/>
    <w:locked/>
    <w:rsid w:val="009166EC"/>
    <w:rPr>
      <w:rFonts w:ascii="Cambria" w:hAnsi="Cambria" w:cs="Times New Roman"/>
      <w:b/>
      <w:bCs/>
      <w:color w:val="4F81BD"/>
      <w:sz w:val="24"/>
      <w:szCs w:val="24"/>
    </w:rPr>
  </w:style>
  <w:style w:type="character" w:styleId="FootnoteReference">
    <w:name w:val="footnote reference"/>
    <w:basedOn w:val="DefaultParagraphFont"/>
    <w:uiPriority w:val="99"/>
    <w:rsid w:val="000410D0"/>
    <w:rPr>
      <w:rFonts w:cs="Times New Roman"/>
    </w:rPr>
  </w:style>
  <w:style w:type="paragraph" w:styleId="FootnoteText">
    <w:name w:val="footnote text"/>
    <w:basedOn w:val="Normal"/>
    <w:link w:val="FootnoteTextChar"/>
    <w:uiPriority w:val="99"/>
    <w:semiHidden/>
    <w:rsid w:val="00043F9E"/>
    <w:rPr>
      <w:sz w:val="20"/>
      <w:szCs w:val="20"/>
    </w:rPr>
  </w:style>
  <w:style w:type="character" w:customStyle="1" w:styleId="FootnoteTextChar">
    <w:name w:val="Footnote Text Char"/>
    <w:basedOn w:val="DefaultParagraphFont"/>
    <w:link w:val="FootnoteText"/>
    <w:uiPriority w:val="99"/>
    <w:semiHidden/>
    <w:locked/>
    <w:rsid w:val="00043F9E"/>
    <w:rPr>
      <w:rFonts w:ascii="Times New Roman" w:hAnsi="Times New Roman" w:cs="Times New Roman"/>
      <w:sz w:val="20"/>
      <w:szCs w:val="20"/>
    </w:rPr>
  </w:style>
  <w:style w:type="character" w:styleId="Hyperlink">
    <w:name w:val="Hyperlink"/>
    <w:basedOn w:val="DefaultParagraphFont"/>
    <w:uiPriority w:val="99"/>
    <w:rsid w:val="00AE299A"/>
    <w:rPr>
      <w:rFonts w:cs="Times New Roman"/>
      <w:color w:val="0000FF"/>
      <w:u w:val="single"/>
    </w:rPr>
  </w:style>
  <w:style w:type="paragraph" w:styleId="Header">
    <w:name w:val="header"/>
    <w:basedOn w:val="Normal"/>
    <w:link w:val="HeaderChar"/>
    <w:uiPriority w:val="99"/>
    <w:semiHidden/>
    <w:rsid w:val="004C3393"/>
    <w:pPr>
      <w:tabs>
        <w:tab w:val="center" w:pos="4680"/>
        <w:tab w:val="right" w:pos="9360"/>
      </w:tabs>
    </w:pPr>
  </w:style>
  <w:style w:type="character" w:customStyle="1" w:styleId="HeaderChar">
    <w:name w:val="Header Char"/>
    <w:basedOn w:val="DefaultParagraphFont"/>
    <w:link w:val="Header"/>
    <w:uiPriority w:val="99"/>
    <w:semiHidden/>
    <w:locked/>
    <w:rsid w:val="004C3393"/>
    <w:rPr>
      <w:rFonts w:ascii="Times New Roman" w:hAnsi="Times New Roman" w:cs="Times New Roman"/>
      <w:sz w:val="24"/>
      <w:szCs w:val="24"/>
    </w:rPr>
  </w:style>
  <w:style w:type="paragraph" w:styleId="Footer">
    <w:name w:val="footer"/>
    <w:basedOn w:val="Normal"/>
    <w:link w:val="FooterChar"/>
    <w:uiPriority w:val="99"/>
    <w:rsid w:val="004C3393"/>
    <w:pPr>
      <w:tabs>
        <w:tab w:val="center" w:pos="4680"/>
        <w:tab w:val="right" w:pos="9360"/>
      </w:tabs>
    </w:pPr>
  </w:style>
  <w:style w:type="character" w:customStyle="1" w:styleId="FooterChar">
    <w:name w:val="Footer Char"/>
    <w:basedOn w:val="DefaultParagraphFont"/>
    <w:link w:val="Footer"/>
    <w:uiPriority w:val="99"/>
    <w:locked/>
    <w:rsid w:val="004C3393"/>
    <w:rPr>
      <w:rFonts w:ascii="Times New Roman" w:hAnsi="Times New Roman" w:cs="Times New Roman"/>
      <w:sz w:val="24"/>
      <w:szCs w:val="24"/>
    </w:rPr>
  </w:style>
  <w:style w:type="paragraph" w:styleId="ListParagraph">
    <w:name w:val="List Paragraph"/>
    <w:basedOn w:val="Normal"/>
    <w:uiPriority w:val="99"/>
    <w:qFormat/>
    <w:rsid w:val="00EB0518"/>
    <w:pPr>
      <w:ind w:left="720"/>
      <w:contextualSpacing/>
    </w:pPr>
  </w:style>
  <w:style w:type="paragraph" w:styleId="HTMLPreformatted">
    <w:name w:val="HTML Preformatted"/>
    <w:basedOn w:val="Normal"/>
    <w:link w:val="HTMLPreformattedChar"/>
    <w:uiPriority w:val="99"/>
    <w:rsid w:val="00830D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830D1F"/>
    <w:rPr>
      <w:rFonts w:ascii="Courier New" w:hAnsi="Courier New" w:cs="Courier New"/>
      <w:sz w:val="20"/>
      <w:szCs w:val="20"/>
    </w:rPr>
  </w:style>
  <w:style w:type="character" w:styleId="Strong">
    <w:name w:val="Strong"/>
    <w:basedOn w:val="DefaultParagraphFont"/>
    <w:uiPriority w:val="99"/>
    <w:qFormat/>
    <w:rsid w:val="00830D1F"/>
    <w:rPr>
      <w:rFonts w:cs="Times New Roman"/>
      <w:b/>
      <w:bCs/>
    </w:rPr>
  </w:style>
</w:styles>
</file>

<file path=word/webSettings.xml><?xml version="1.0" encoding="utf-8"?>
<w:webSettings xmlns:r="http://schemas.openxmlformats.org/officeDocument/2006/relationships" xmlns:w="http://schemas.openxmlformats.org/wordprocessingml/2006/main">
  <w:divs>
    <w:div w:id="422993087">
      <w:marLeft w:val="0"/>
      <w:marRight w:val="0"/>
      <w:marTop w:val="0"/>
      <w:marBottom w:val="0"/>
      <w:divBdr>
        <w:top w:val="none" w:sz="0" w:space="0" w:color="auto"/>
        <w:left w:val="none" w:sz="0" w:space="0" w:color="auto"/>
        <w:bottom w:val="none" w:sz="0" w:space="0" w:color="auto"/>
        <w:right w:val="none" w:sz="0" w:space="0" w:color="auto"/>
      </w:divBdr>
    </w:div>
    <w:div w:id="4229930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889FE-CAC8-4969-8CED-9ED131912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4047</Words>
  <Characters>23071</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27064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Mina Ruiz</cp:lastModifiedBy>
  <cp:revision>2</cp:revision>
  <cp:lastPrinted>2009-07-15T18:12:00Z</cp:lastPrinted>
  <dcterms:created xsi:type="dcterms:W3CDTF">2009-07-22T21:34:00Z</dcterms:created>
  <dcterms:modified xsi:type="dcterms:W3CDTF">2009-07-22T21:34:00Z</dcterms:modified>
</cp:coreProperties>
</file>