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85" w:rsidRDefault="00DC4CC2">
      <w:r>
        <w:tab/>
      </w:r>
      <w:r>
        <w:tab/>
      </w:r>
      <w:r>
        <w:tab/>
      </w:r>
      <w:r>
        <w:tab/>
      </w:r>
      <w:r>
        <w:tab/>
      </w:r>
      <w:r>
        <w:tab/>
      </w:r>
      <w:r>
        <w:tab/>
      </w:r>
      <w:r>
        <w:tab/>
      </w:r>
      <w:r>
        <w:tab/>
      </w:r>
      <w:r>
        <w:rPr>
          <w:sz w:val="28"/>
          <w:szCs w:val="28"/>
        </w:rPr>
        <w:t>Filed December 18, 2008</w:t>
      </w:r>
    </w:p>
    <w:p w:rsidR="00046FF6" w:rsidRDefault="00046FF6"/>
    <w:p w:rsidR="00046FF6" w:rsidRDefault="00046FF6"/>
    <w:p w:rsidR="00DC4CC2" w:rsidRDefault="00DC4CC2"/>
    <w:p w:rsidR="00046FF6" w:rsidRDefault="00046FF6"/>
    <w:p w:rsidR="00046FF6" w:rsidRDefault="00046FF6"/>
    <w:p w:rsidR="009E2A85" w:rsidRDefault="009E2A85"/>
    <w:p w:rsidR="00046FF6" w:rsidRDefault="00046FF6">
      <w:pPr>
        <w:jc w:val="center"/>
      </w:pPr>
      <w:r>
        <w:rPr>
          <w:b/>
          <w:bCs/>
        </w:rPr>
        <w:t>REVIEW DEPARTMENT OF THE STATE BAR COURT</w:t>
      </w:r>
    </w:p>
    <w:p w:rsidR="00046FF6" w:rsidRDefault="00046FF6">
      <w:pPr>
        <w:jc w:val="center"/>
      </w:pPr>
      <w:r>
        <w:rPr>
          <w:b/>
          <w:bCs/>
        </w:rPr>
        <w:t>IN BANK</w:t>
      </w:r>
    </w:p>
    <w:p w:rsidR="00046FF6" w:rsidRDefault="00046FF6">
      <w:pPr>
        <w:jc w:val="center"/>
      </w:pPr>
    </w:p>
    <w:p w:rsidR="00046FF6" w:rsidRDefault="00046FF6">
      <w:pPr>
        <w:spacing w:line="62" w:lineRule="exact"/>
        <w:jc w:val="center"/>
      </w:pPr>
    </w:p>
    <w:p w:rsidR="00046FF6" w:rsidRDefault="00046FF6">
      <w:pPr>
        <w:spacing w:line="235" w:lineRule="exact"/>
        <w:jc w:val="center"/>
      </w:pPr>
    </w:p>
    <w:tbl>
      <w:tblPr>
        <w:tblW w:w="0" w:type="auto"/>
        <w:tblInd w:w="8" w:type="dxa"/>
        <w:tblLayout w:type="fixed"/>
        <w:tblCellMar>
          <w:left w:w="0" w:type="dxa"/>
          <w:right w:w="0" w:type="dxa"/>
        </w:tblCellMar>
        <w:tblLook w:val="0000"/>
      </w:tblPr>
      <w:tblGrid>
        <w:gridCol w:w="4680"/>
        <w:gridCol w:w="360"/>
        <w:gridCol w:w="2160"/>
        <w:gridCol w:w="2160"/>
      </w:tblGrid>
      <w:tr w:rsidR="00046FF6">
        <w:trPr>
          <w:cantSplit/>
          <w:trHeight w:val="244"/>
        </w:trPr>
        <w:tc>
          <w:tcPr>
            <w:tcW w:w="4680" w:type="dxa"/>
            <w:vMerge w:val="restart"/>
            <w:tcBorders>
              <w:bottom w:val="single" w:sz="6" w:space="0" w:color="000000"/>
            </w:tcBorders>
          </w:tcPr>
          <w:p w:rsidR="00046FF6" w:rsidRDefault="00046FF6">
            <w:pPr>
              <w:spacing w:before="30" w:line="235" w:lineRule="exact"/>
            </w:pPr>
            <w:r>
              <w:t>In the Matter of</w:t>
            </w:r>
          </w:p>
          <w:p w:rsidR="00046FF6" w:rsidRDefault="00046FF6">
            <w:pPr>
              <w:spacing w:line="235" w:lineRule="exact"/>
            </w:pPr>
          </w:p>
          <w:p w:rsidR="00046FF6" w:rsidRDefault="00D2101F">
            <w:pPr>
              <w:spacing w:line="235" w:lineRule="exact"/>
              <w:rPr>
                <w:b/>
                <w:bCs/>
              </w:rPr>
            </w:pPr>
            <w:r>
              <w:rPr>
                <w:b/>
                <w:bCs/>
              </w:rPr>
              <w:t>MARK STEVEN STEIN</w:t>
            </w:r>
            <w:r w:rsidR="00046FF6">
              <w:rPr>
                <w:b/>
                <w:bCs/>
              </w:rPr>
              <w:t>,</w:t>
            </w:r>
          </w:p>
          <w:p w:rsidR="00046FF6" w:rsidRDefault="00046FF6">
            <w:pPr>
              <w:spacing w:line="235" w:lineRule="exact"/>
            </w:pPr>
          </w:p>
          <w:p w:rsidR="00046FF6" w:rsidRDefault="00046FF6">
            <w:pPr>
              <w:spacing w:line="235" w:lineRule="exact"/>
            </w:pPr>
            <w:r>
              <w:t>A Member of the State Bar.</w:t>
            </w:r>
          </w:p>
          <w:p w:rsidR="00046FF6" w:rsidRDefault="00046FF6">
            <w:pPr>
              <w:spacing w:line="235" w:lineRule="exact"/>
            </w:pPr>
          </w:p>
        </w:tc>
        <w:tc>
          <w:tcPr>
            <w:tcW w:w="360" w:type="dxa"/>
            <w:vMerge w:val="restart"/>
          </w:tcPr>
          <w:p w:rsidR="00046FF6" w:rsidRDefault="00046FF6">
            <w:pPr>
              <w:spacing w:before="30" w:line="235" w:lineRule="exact"/>
            </w:pPr>
            <w:r>
              <w:t>)</w:t>
            </w:r>
          </w:p>
          <w:p w:rsidR="00046FF6" w:rsidRDefault="00046FF6">
            <w:pPr>
              <w:spacing w:line="235" w:lineRule="exact"/>
            </w:pPr>
            <w:r>
              <w:t>)</w:t>
            </w:r>
          </w:p>
          <w:p w:rsidR="00046FF6" w:rsidRDefault="00046FF6">
            <w:pPr>
              <w:spacing w:line="235" w:lineRule="exact"/>
            </w:pPr>
            <w:r>
              <w:t>)</w:t>
            </w:r>
          </w:p>
          <w:p w:rsidR="00046FF6" w:rsidRDefault="00046FF6">
            <w:pPr>
              <w:spacing w:line="235" w:lineRule="exact"/>
            </w:pPr>
            <w:r>
              <w:t>)</w:t>
            </w:r>
          </w:p>
          <w:p w:rsidR="00046FF6" w:rsidRDefault="00046FF6">
            <w:pPr>
              <w:spacing w:line="235" w:lineRule="exact"/>
            </w:pPr>
            <w:r>
              <w:t>)</w:t>
            </w:r>
          </w:p>
          <w:p w:rsidR="00046FF6" w:rsidRDefault="00046FF6">
            <w:pPr>
              <w:spacing w:line="235" w:lineRule="exact"/>
            </w:pPr>
            <w:r>
              <w:t>)</w:t>
            </w:r>
          </w:p>
          <w:p w:rsidR="00046FF6" w:rsidRDefault="00046FF6">
            <w:pPr>
              <w:spacing w:line="235" w:lineRule="exact"/>
            </w:pPr>
            <w:r>
              <w:t>)</w:t>
            </w:r>
          </w:p>
        </w:tc>
        <w:tc>
          <w:tcPr>
            <w:tcW w:w="2160" w:type="dxa"/>
            <w:vMerge w:val="restart"/>
          </w:tcPr>
          <w:p w:rsidR="00046FF6" w:rsidRPr="008604F7" w:rsidRDefault="002F7094">
            <w:pPr>
              <w:spacing w:before="30" w:line="235" w:lineRule="exact"/>
              <w:rPr>
                <w:b/>
              </w:rPr>
            </w:pPr>
            <w:r w:rsidRPr="008604F7">
              <w:rPr>
                <w:b/>
              </w:rPr>
              <w:t>08</w:t>
            </w:r>
            <w:r w:rsidR="00046FF6" w:rsidRPr="008604F7">
              <w:rPr>
                <w:b/>
              </w:rPr>
              <w:t>-C-1</w:t>
            </w:r>
            <w:r w:rsidRPr="008604F7">
              <w:rPr>
                <w:b/>
              </w:rPr>
              <w:t>1</w:t>
            </w:r>
            <w:r w:rsidR="00D2101F" w:rsidRPr="008604F7">
              <w:rPr>
                <w:b/>
              </w:rPr>
              <w:t>675</w:t>
            </w:r>
          </w:p>
        </w:tc>
        <w:tc>
          <w:tcPr>
            <w:tcW w:w="2160" w:type="dxa"/>
            <w:vMerge w:val="restart"/>
          </w:tcPr>
          <w:p w:rsidR="00046FF6" w:rsidRDefault="00046FF6">
            <w:pPr>
              <w:spacing w:before="30" w:line="235" w:lineRule="exact"/>
            </w:pPr>
          </w:p>
        </w:tc>
      </w:tr>
      <w:tr w:rsidR="00046FF6">
        <w:trPr>
          <w:cantSplit/>
          <w:trHeight w:val="270"/>
        </w:trPr>
        <w:tc>
          <w:tcPr>
            <w:tcW w:w="4680" w:type="dxa"/>
            <w:vMerge/>
            <w:tcBorders>
              <w:bottom w:val="single" w:sz="6" w:space="0" w:color="000000"/>
            </w:tcBorders>
          </w:tcPr>
          <w:p w:rsidR="00046FF6" w:rsidRDefault="00046FF6">
            <w:pPr>
              <w:spacing w:before="30" w:line="235" w:lineRule="exact"/>
            </w:pPr>
          </w:p>
        </w:tc>
        <w:tc>
          <w:tcPr>
            <w:tcW w:w="360" w:type="dxa"/>
            <w:vMerge/>
          </w:tcPr>
          <w:p w:rsidR="00046FF6" w:rsidRDefault="00046FF6">
            <w:pPr>
              <w:spacing w:before="30" w:line="235" w:lineRule="exact"/>
            </w:pPr>
          </w:p>
        </w:tc>
        <w:tc>
          <w:tcPr>
            <w:tcW w:w="2160" w:type="dxa"/>
            <w:vMerge/>
          </w:tcPr>
          <w:p w:rsidR="00046FF6" w:rsidRDefault="00046FF6">
            <w:pPr>
              <w:spacing w:before="30" w:line="235" w:lineRule="exact"/>
            </w:pPr>
          </w:p>
        </w:tc>
        <w:tc>
          <w:tcPr>
            <w:tcW w:w="2160" w:type="dxa"/>
            <w:vMerge/>
          </w:tcPr>
          <w:p w:rsidR="00046FF6" w:rsidRDefault="00046FF6">
            <w:pPr>
              <w:spacing w:before="30" w:line="235" w:lineRule="exact"/>
            </w:pPr>
          </w:p>
        </w:tc>
      </w:tr>
      <w:tr w:rsidR="00046FF6">
        <w:trPr>
          <w:cantSplit/>
          <w:trHeight w:val="940"/>
        </w:trPr>
        <w:tc>
          <w:tcPr>
            <w:tcW w:w="4680" w:type="dxa"/>
            <w:vMerge/>
            <w:tcBorders>
              <w:bottom w:val="single" w:sz="6" w:space="0" w:color="000000"/>
            </w:tcBorders>
          </w:tcPr>
          <w:p w:rsidR="00046FF6" w:rsidRDefault="00046FF6">
            <w:pPr>
              <w:spacing w:before="30" w:line="235" w:lineRule="exact"/>
            </w:pPr>
          </w:p>
        </w:tc>
        <w:tc>
          <w:tcPr>
            <w:tcW w:w="360" w:type="dxa"/>
            <w:vMerge/>
          </w:tcPr>
          <w:p w:rsidR="00046FF6" w:rsidRDefault="00046FF6">
            <w:pPr>
              <w:spacing w:before="30" w:line="235" w:lineRule="exact"/>
            </w:pPr>
          </w:p>
        </w:tc>
        <w:tc>
          <w:tcPr>
            <w:tcW w:w="4320" w:type="dxa"/>
            <w:gridSpan w:val="2"/>
          </w:tcPr>
          <w:p w:rsidR="00046FF6" w:rsidRDefault="00046FF6">
            <w:pPr>
              <w:spacing w:before="30" w:line="235" w:lineRule="exact"/>
              <w:rPr>
                <w:b/>
                <w:bCs/>
              </w:rPr>
            </w:pPr>
            <w:r>
              <w:rPr>
                <w:b/>
                <w:bCs/>
              </w:rPr>
              <w:t xml:space="preserve">RECOMMENDATION OF </w:t>
            </w:r>
          </w:p>
          <w:p w:rsidR="00046FF6" w:rsidRDefault="00046FF6">
            <w:pPr>
              <w:spacing w:line="235" w:lineRule="exact"/>
            </w:pPr>
            <w:r>
              <w:rPr>
                <w:b/>
                <w:bCs/>
              </w:rPr>
              <w:t>SUMMARY DISBARMENT</w:t>
            </w:r>
          </w:p>
        </w:tc>
      </w:tr>
    </w:tbl>
    <w:p w:rsidR="00046FF6" w:rsidRDefault="00046FF6">
      <w:pPr>
        <w:spacing w:line="480" w:lineRule="auto"/>
      </w:pPr>
    </w:p>
    <w:p w:rsidR="002F7094" w:rsidRDefault="002F7094" w:rsidP="009E2A85">
      <w:pPr>
        <w:spacing w:line="360" w:lineRule="auto"/>
        <w:ind w:firstLine="720"/>
      </w:pPr>
      <w:r>
        <w:t xml:space="preserve">The State Bar’s request for recommendation of summary </w:t>
      </w:r>
      <w:r w:rsidR="00D2101F">
        <w:t>disbarment, filed on October 3</w:t>
      </w:r>
      <w:r>
        <w:t>,</w:t>
      </w:r>
      <w:r w:rsidR="005C6094">
        <w:t xml:space="preserve"> 2008, is granted.  On October 24</w:t>
      </w:r>
      <w:r>
        <w:t>, 2008, we fil</w:t>
      </w:r>
      <w:r w:rsidR="00542C1F">
        <w:t xml:space="preserve">ed an order to show cause </w:t>
      </w:r>
      <w:r w:rsidR="005C6094">
        <w:t>on or before November 14</w:t>
      </w:r>
      <w:r>
        <w:t>, 2008, directi</w:t>
      </w:r>
      <w:r w:rsidR="00D2101F">
        <w:t>ng respondent, M</w:t>
      </w:r>
      <w:r w:rsidR="009E2A85">
        <w:t xml:space="preserve">ark Steven Stein, State Bar number </w:t>
      </w:r>
      <w:r w:rsidR="00D2101F">
        <w:t>173808</w:t>
      </w:r>
      <w:r>
        <w:t xml:space="preserve">, to show why we should not recommend his summary disbarment to the Supreme Court.  Respondent did not file a response.  </w:t>
      </w:r>
    </w:p>
    <w:p w:rsidR="008604F7" w:rsidRDefault="00D2101F" w:rsidP="008604F7">
      <w:pPr>
        <w:spacing w:line="360" w:lineRule="auto"/>
        <w:ind w:right="-144" w:firstLine="720"/>
      </w:pPr>
      <w:r>
        <w:t xml:space="preserve">On </w:t>
      </w:r>
      <w:r w:rsidR="00BA4FC4">
        <w:t>June 4, 2008</w:t>
      </w:r>
      <w:r w:rsidR="0037346B">
        <w:t>,</w:t>
      </w:r>
      <w:r w:rsidR="002F7094">
        <w:t xml:space="preserve"> </w:t>
      </w:r>
      <w:r w:rsidR="00117FE8">
        <w:t>respondent</w:t>
      </w:r>
      <w:r w:rsidR="00432C9A">
        <w:t xml:space="preserve"> pled guilty to two counts of grand theft (Pen. Code</w:t>
      </w:r>
      <w:r w:rsidR="0063259C">
        <w:t>,</w:t>
      </w:r>
      <w:r w:rsidR="00432C9A">
        <w:t xml:space="preserve"> §</w:t>
      </w:r>
      <w:r w:rsidR="00BA4FC4">
        <w:t xml:space="preserve"> 4</w:t>
      </w:r>
      <w:r w:rsidR="00432C9A">
        <w:t>87, subd. (a))</w:t>
      </w:r>
      <w:r w:rsidR="006833AB">
        <w:t>, and one count each of</w:t>
      </w:r>
      <w:r w:rsidR="00245335">
        <w:t xml:space="preserve"> unauthorized use of personal identifying information of another person</w:t>
      </w:r>
      <w:r w:rsidR="00432C9A">
        <w:t xml:space="preserve"> (</w:t>
      </w:r>
      <w:r w:rsidR="00BA4FC4">
        <w:t>Pen</w:t>
      </w:r>
      <w:r w:rsidR="00432C9A">
        <w:t>. Code</w:t>
      </w:r>
      <w:r w:rsidR="00245335">
        <w:t>,</w:t>
      </w:r>
      <w:r w:rsidR="00432C9A">
        <w:t xml:space="preserve"> § 530.5, subd.</w:t>
      </w:r>
      <w:r w:rsidR="00BA4FC4">
        <w:t xml:space="preserve"> (a)</w:t>
      </w:r>
      <w:r w:rsidR="006833AB">
        <w:t xml:space="preserve">), </w:t>
      </w:r>
      <w:r w:rsidR="00432C9A">
        <w:t>forgery (Pen. Code</w:t>
      </w:r>
      <w:r w:rsidR="00245335">
        <w:t>,</w:t>
      </w:r>
      <w:r w:rsidR="00432C9A">
        <w:t xml:space="preserve"> § 470, subd.</w:t>
      </w:r>
      <w:r w:rsidR="00BA4FC4">
        <w:t xml:space="preserve"> (a)</w:t>
      </w:r>
      <w:r w:rsidR="00432C9A">
        <w:t>)</w:t>
      </w:r>
      <w:r w:rsidR="006833AB">
        <w:t>,</w:t>
      </w:r>
      <w:r w:rsidR="008604F7">
        <w:t xml:space="preserve"> second-</w:t>
      </w:r>
      <w:r w:rsidR="00BA4FC4">
        <w:t>degree comm</w:t>
      </w:r>
      <w:r w:rsidR="00432C9A">
        <w:t>ercial burglary (Pen. Code</w:t>
      </w:r>
      <w:r w:rsidR="00245335">
        <w:t>,</w:t>
      </w:r>
      <w:r w:rsidR="00432C9A">
        <w:t xml:space="preserve"> §</w:t>
      </w:r>
      <w:r w:rsidR="00BA4FC4">
        <w:t xml:space="preserve"> 459</w:t>
      </w:r>
      <w:r w:rsidR="00432C9A">
        <w:t>)</w:t>
      </w:r>
      <w:r w:rsidR="006833AB">
        <w:t xml:space="preserve">, </w:t>
      </w:r>
      <w:r w:rsidR="00BA4FC4">
        <w:t>being under the influence of a contr</w:t>
      </w:r>
      <w:r w:rsidR="00432C9A">
        <w:t>olled substance (Health &amp; Saf. Code</w:t>
      </w:r>
      <w:r w:rsidR="00245335">
        <w:t>,</w:t>
      </w:r>
      <w:r w:rsidR="00432C9A">
        <w:t xml:space="preserve"> §</w:t>
      </w:r>
      <w:r w:rsidR="00BA4FC4">
        <w:t xml:space="preserve"> 11550</w:t>
      </w:r>
      <w:r w:rsidR="00432C9A">
        <w:t>)</w:t>
      </w:r>
      <w:r w:rsidR="006833AB">
        <w:t>,</w:t>
      </w:r>
      <w:r w:rsidR="00BA4FC4">
        <w:t xml:space="preserve"> and transportation of a contr</w:t>
      </w:r>
      <w:r w:rsidR="00432C9A">
        <w:t>olled s</w:t>
      </w:r>
      <w:r w:rsidR="00245335">
        <w:t>ubstance (Health &amp; Saf. Code, §</w:t>
      </w:r>
      <w:r w:rsidR="00BA4FC4">
        <w:t xml:space="preserve"> 11379, subdivision (a)</w:t>
      </w:r>
      <w:r w:rsidR="005373BD">
        <w:t>)</w:t>
      </w:r>
      <w:r w:rsidR="00542C1F">
        <w:t>.</w:t>
      </w:r>
      <w:r w:rsidR="00117FE8">
        <w:t xml:space="preserve">  </w:t>
      </w:r>
      <w:r w:rsidR="00D76917">
        <w:t>Respondent’s accepted guilty plea is a conviction under the State Bar Act. (Bus. &amp; Prof. Code</w:t>
      </w:r>
      <w:r w:rsidR="008604F7">
        <w:t>,</w:t>
      </w:r>
      <w:r w:rsidR="00D76917">
        <w:t xml:space="preserve"> § 6101, subd. (e).)  </w:t>
      </w:r>
      <w:r w:rsidR="002F7094">
        <w:t>As a result of respondent’s conviction</w:t>
      </w:r>
      <w:r w:rsidR="008604F7">
        <w:t>,</w:t>
      </w:r>
      <w:r w:rsidR="002F7094">
        <w:t xml:space="preserve"> we placed him on inter</w:t>
      </w:r>
      <w:r w:rsidR="00117FE8">
        <w:t>im suspension eff</w:t>
      </w:r>
      <w:r w:rsidR="00BA4FC4">
        <w:t>ective July 17, 2008</w:t>
      </w:r>
      <w:r w:rsidR="002F7094">
        <w:t>, and he has remained on interim suspension since that time.</w:t>
      </w:r>
      <w:r w:rsidR="00CA45BD">
        <w:t xml:space="preserve">  As the time period for filing an appeal from his conviction has expired and respon</w:t>
      </w:r>
      <w:r w:rsidR="00D76917">
        <w:t>dent has not filed a notice of appeal, his conviction is now final.</w:t>
      </w:r>
      <w:r w:rsidR="009473DD">
        <w:t xml:space="preserve"> (Cal</w:t>
      </w:r>
      <w:r w:rsidR="009E2A85">
        <w:t xml:space="preserve">. Rules </w:t>
      </w:r>
      <w:r w:rsidR="009473DD">
        <w:t>of Cou</w:t>
      </w:r>
      <w:r w:rsidR="009E2A85">
        <w:t>rt, rule 9.10(a).)</w:t>
      </w:r>
    </w:p>
    <w:p w:rsidR="00276DE5" w:rsidRDefault="002F7094" w:rsidP="008604F7">
      <w:pPr>
        <w:spacing w:line="360" w:lineRule="auto"/>
        <w:ind w:right="-144" w:firstLine="720"/>
      </w:pPr>
      <w:r>
        <w:t>Respondent’s conviction is conclusive proof that he committed the crime</w:t>
      </w:r>
      <w:r w:rsidR="009E2A85">
        <w:t>s</w:t>
      </w:r>
      <w:r>
        <w:t xml:space="preserve">.  (Bus. &amp; Prof. Code, § 6101, subd. (a); </w:t>
      </w:r>
      <w:r>
        <w:rPr>
          <w:i/>
          <w:iCs/>
        </w:rPr>
        <w:t xml:space="preserve">In re Crooks </w:t>
      </w:r>
      <w:r>
        <w:t xml:space="preserve">(1990) 51 Cal.3d 1090, 1097.)  The record of conviction establishes that respondent’s conviction </w:t>
      </w:r>
      <w:r w:rsidR="009E2A85">
        <w:t xml:space="preserve">for grand theft and forgery </w:t>
      </w:r>
      <w:r>
        <w:t>meet</w:t>
      </w:r>
      <w:r w:rsidR="008604F7">
        <w:t>s</w:t>
      </w:r>
      <w:r>
        <w:t xml:space="preserve"> the criteria for summary </w:t>
      </w:r>
      <w:r>
        <w:lastRenderedPageBreak/>
        <w:t>disbarment under Business and Professions Code section 6102, subdivision (c), as amended effective January 1, 1997.</w:t>
      </w:r>
      <w:r w:rsidR="009E2A85" w:rsidRPr="009E2A85">
        <w:rPr>
          <w:rStyle w:val="FootnoteReference"/>
        </w:rPr>
        <w:t xml:space="preserve"> </w:t>
      </w:r>
      <w:r w:rsidR="009E2A85">
        <w:rPr>
          <w:rStyle w:val="FootnoteReference"/>
        </w:rPr>
        <w:footnoteReference w:id="2"/>
      </w:r>
      <w:r>
        <w:t xml:space="preserve">  </w:t>
      </w:r>
      <w:r w:rsidR="006F5E28">
        <w:t>First, the offense</w:t>
      </w:r>
      <w:r w:rsidR="00BA4FC4">
        <w:t>s</w:t>
      </w:r>
      <w:r w:rsidR="006F5E28">
        <w:t xml:space="preserve"> of whi</w:t>
      </w:r>
      <w:r w:rsidR="00BA4FC4">
        <w:t>ch respondent was convicted are felonies</w:t>
      </w:r>
      <w:r w:rsidR="00BA5475">
        <w:t>.</w:t>
      </w:r>
      <w:r w:rsidR="009E2A85">
        <w:t xml:space="preserve">   </w:t>
      </w:r>
      <w:r w:rsidR="0067080B">
        <w:t>(</w:t>
      </w:r>
      <w:r w:rsidR="00C8172B">
        <w:t xml:space="preserve">Pen. Code, § 17, subd. (a); </w:t>
      </w:r>
      <w:r>
        <w:t>Bus. &amp; Prof. Code</w:t>
      </w:r>
      <w:r w:rsidR="006833AB">
        <w:t xml:space="preserve">, </w:t>
      </w:r>
      <w:r>
        <w:t>§ 6102, s</w:t>
      </w:r>
      <w:r w:rsidR="006F5E28">
        <w:t>ubd. (b).)</w:t>
      </w:r>
      <w:r w:rsidR="009E2A85">
        <w:t xml:space="preserve">  </w:t>
      </w:r>
      <w:r w:rsidR="006F5E28">
        <w:t xml:space="preserve">Second, </w:t>
      </w:r>
      <w:r w:rsidR="00C25F18">
        <w:t>the offense</w:t>
      </w:r>
      <w:r w:rsidR="00432C9A">
        <w:t xml:space="preserve">s </w:t>
      </w:r>
      <w:r w:rsidR="00DD3BEA">
        <w:t xml:space="preserve">necessarily </w:t>
      </w:r>
      <w:r w:rsidR="00432C9A">
        <w:t>involve</w:t>
      </w:r>
      <w:r w:rsidR="00C25F18">
        <w:t xml:space="preserve"> moral turpitude.</w:t>
      </w:r>
      <w:r w:rsidR="00ED19F8">
        <w:t xml:space="preserve">  (</w:t>
      </w:r>
      <w:r w:rsidR="006559C6" w:rsidRPr="006559C6">
        <w:rPr>
          <w:i/>
        </w:rPr>
        <w:t>In re Basinger</w:t>
      </w:r>
      <w:r w:rsidR="006559C6">
        <w:rPr>
          <w:i/>
        </w:rPr>
        <w:t xml:space="preserve"> </w:t>
      </w:r>
      <w:r w:rsidR="006559C6" w:rsidRPr="006559C6">
        <w:t>(1988) 45 Cal.3d 1348</w:t>
      </w:r>
      <w:r w:rsidR="006559C6">
        <w:t>, 1358</w:t>
      </w:r>
      <w:r w:rsidR="00915C99">
        <w:t xml:space="preserve"> [grand theft]</w:t>
      </w:r>
      <w:r w:rsidR="00C20039">
        <w:t xml:space="preserve">; </w:t>
      </w:r>
      <w:r w:rsidR="00C20039">
        <w:rPr>
          <w:i/>
        </w:rPr>
        <w:t>In re Prantil</w:t>
      </w:r>
      <w:r w:rsidR="00C20039">
        <w:t xml:space="preserve"> (1989) 48 Cal.3d 227, 234 [forgery]</w:t>
      </w:r>
      <w:r w:rsidR="00FC6ACF">
        <w:t>; see also</w:t>
      </w:r>
      <w:r w:rsidR="005E44AB">
        <w:t xml:space="preserve"> </w:t>
      </w:r>
      <w:r w:rsidR="005E44AB">
        <w:rPr>
          <w:i/>
        </w:rPr>
        <w:t xml:space="preserve">In re Hallinan </w:t>
      </w:r>
      <w:r w:rsidR="005E44AB">
        <w:t xml:space="preserve">(1954) 43 Cal.2d 243, 247-48 </w:t>
      </w:r>
      <w:r w:rsidR="00FC6ACF">
        <w:t>[forgery and grand theft are included in “</w:t>
      </w:r>
      <w:r w:rsidR="00FC6ACF" w:rsidRPr="00FC6ACF">
        <w:t>the related group of offenses invol</w:t>
      </w:r>
      <w:r w:rsidR="00FC6ACF">
        <w:t>ving intentional dishonesty</w:t>
      </w:r>
      <w:r w:rsidR="00FC6ACF" w:rsidRPr="00FC6ACF">
        <w:t xml:space="preserve"> for purposes of personal gain </w:t>
      </w:r>
      <w:r w:rsidR="00FC6ACF">
        <w:t xml:space="preserve">[that] </w:t>
      </w:r>
      <w:r w:rsidR="00FC6ACF" w:rsidRPr="00FC6ACF">
        <w:t>are crimes involving moral turpitude</w:t>
      </w:r>
      <w:r w:rsidR="00053B1A">
        <w:t>.  [Citations].”</w:t>
      </w:r>
      <w:r w:rsidR="00C20039">
        <w:t>)</w:t>
      </w:r>
      <w:r w:rsidR="003D12B4">
        <w:t xml:space="preserve">  </w:t>
      </w:r>
      <w:r>
        <w:t>When an attorney’s conviction meets the requirements of Business and Professions Code, section 6102, subdivision (c), “the attorney is not entitled to a State Bar Court hearing to determine whether lesser discipline is called for.”  (</w:t>
      </w:r>
      <w:r>
        <w:rPr>
          <w:i/>
          <w:iCs/>
        </w:rPr>
        <w:t>In re Paguirigan</w:t>
      </w:r>
      <w:r>
        <w:t xml:space="preserve"> (2001) 25 Cal.4th 1, 7.)  Disbarment is mandatory.  (</w:t>
      </w:r>
      <w:r>
        <w:rPr>
          <w:i/>
          <w:iCs/>
        </w:rPr>
        <w:t>Id</w:t>
      </w:r>
      <w:r>
        <w:t xml:space="preserve">. at p. 9; see also </w:t>
      </w:r>
      <w:r>
        <w:rPr>
          <w:i/>
          <w:iCs/>
        </w:rPr>
        <w:t>In re Lesansky</w:t>
      </w:r>
      <w:r w:rsidR="008604F7">
        <w:rPr>
          <w:i/>
          <w:iCs/>
        </w:rPr>
        <w:t xml:space="preserve"> </w:t>
      </w:r>
      <w:r w:rsidR="008604F7">
        <w:rPr>
          <w:iCs/>
        </w:rPr>
        <w:t>(2001)</w:t>
      </w:r>
      <w:r>
        <w:t xml:space="preserve"> 2</w:t>
      </w:r>
      <w:r w:rsidR="00117FE8">
        <w:t xml:space="preserve">5 Cal.4th </w:t>
      </w:r>
      <w:r w:rsidR="008604F7">
        <w:t xml:space="preserve">11, </w:t>
      </w:r>
      <w:r>
        <w:t>17-18</w:t>
      </w:r>
      <w:r w:rsidR="008F7A02">
        <w:t>.)</w:t>
      </w:r>
      <w:r w:rsidR="009E50CC">
        <w:t xml:space="preserve"> </w:t>
      </w:r>
    </w:p>
    <w:p w:rsidR="002F7094" w:rsidRPr="002F7094" w:rsidRDefault="002F7094" w:rsidP="009E2A85">
      <w:pPr>
        <w:spacing w:line="360" w:lineRule="auto"/>
        <w:ind w:firstLine="720"/>
      </w:pPr>
      <w:r w:rsidRPr="002F7094">
        <w:t xml:space="preserve">We therefore recommend that respondent, </w:t>
      </w:r>
      <w:r w:rsidR="009E2A85">
        <w:t>Mark Steven Stein, State Bar number</w:t>
      </w:r>
      <w:r w:rsidR="005C6094">
        <w:t xml:space="preserve"> 173808</w:t>
      </w:r>
      <w:r w:rsidRPr="002F7094">
        <w:t>, be summarily disbarred from the practice of law in this state.  We also recommend that respondent be ordered to comply with rule 9.20 of the California Rules of Court and to perform the acts specified in paragraphs (a) and (c) of that rule within 30 and 45 days, respectively, after the effective date of the Supreme Court’s order.  Finally, we recommend that costs be awarded to the State Bar in accordance with Business and Professions Code, section 6086.10, such costs being enforceable both as provided in Business and Professions Code, section 6140.7 and as a money judgment.</w:t>
      </w:r>
      <w:r w:rsidR="00763DC9">
        <w:t xml:space="preserve"> </w:t>
      </w:r>
    </w:p>
    <w:p w:rsidR="002F7094" w:rsidRDefault="002F7094" w:rsidP="009E2A85">
      <w:pPr>
        <w:spacing w:line="360" w:lineRule="auto"/>
      </w:pPr>
    </w:p>
    <w:p w:rsidR="009E2A85" w:rsidRDefault="009E2A85" w:rsidP="009E2A85">
      <w:pPr>
        <w:spacing w:line="360" w:lineRule="auto"/>
      </w:pPr>
    </w:p>
    <w:p w:rsidR="00046FF6" w:rsidRDefault="00046FF6" w:rsidP="008604F7">
      <w:r>
        <w:tab/>
      </w:r>
      <w:r>
        <w:tab/>
      </w:r>
      <w:r>
        <w:tab/>
      </w:r>
      <w:r>
        <w:tab/>
      </w:r>
      <w:r>
        <w:tab/>
      </w:r>
      <w:r>
        <w:tab/>
      </w:r>
      <w:r>
        <w:tab/>
        <w:t>_______________________________</w:t>
      </w:r>
    </w:p>
    <w:p w:rsidR="00046FF6" w:rsidRDefault="00046FF6" w:rsidP="008604F7">
      <w:r>
        <w:tab/>
      </w:r>
      <w:r>
        <w:tab/>
      </w:r>
      <w:r>
        <w:tab/>
      </w:r>
      <w:r>
        <w:tab/>
      </w:r>
      <w:r>
        <w:tab/>
      </w:r>
      <w:r>
        <w:tab/>
      </w:r>
      <w:r>
        <w:tab/>
      </w:r>
      <w:r>
        <w:tab/>
        <w:t xml:space="preserve">     Presiding Judge</w:t>
      </w:r>
    </w:p>
    <w:sectPr w:rsidR="00046FF6" w:rsidSect="008604F7">
      <w:footerReference w:type="even"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45C" w:rsidRDefault="00E2445C">
      <w:r>
        <w:separator/>
      </w:r>
    </w:p>
  </w:endnote>
  <w:endnote w:type="continuationSeparator" w:id="1">
    <w:p w:rsidR="00E2445C" w:rsidRDefault="00E24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B9" w:rsidRDefault="00C51602">
    <w:pPr>
      <w:pStyle w:val="Footer"/>
      <w:framePr w:wrap="around" w:vAnchor="text" w:hAnchor="margin" w:xAlign="center" w:y="1"/>
      <w:rPr>
        <w:rStyle w:val="PageNumber"/>
      </w:rPr>
    </w:pPr>
    <w:r>
      <w:rPr>
        <w:rStyle w:val="PageNumber"/>
      </w:rPr>
      <w:fldChar w:fldCharType="begin"/>
    </w:r>
    <w:r w:rsidR="002320B9">
      <w:rPr>
        <w:rStyle w:val="PageNumber"/>
      </w:rPr>
      <w:instrText xml:space="preserve">PAGE  </w:instrText>
    </w:r>
    <w:r>
      <w:rPr>
        <w:rStyle w:val="PageNumber"/>
      </w:rPr>
      <w:fldChar w:fldCharType="end"/>
    </w:r>
  </w:p>
  <w:p w:rsidR="002320B9" w:rsidRDefault="00232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B9" w:rsidRDefault="00C51602">
    <w:pPr>
      <w:pStyle w:val="Footer"/>
      <w:framePr w:wrap="around" w:vAnchor="text" w:hAnchor="margin" w:xAlign="center" w:y="1"/>
      <w:rPr>
        <w:rStyle w:val="PageNumber"/>
      </w:rPr>
    </w:pPr>
    <w:r>
      <w:rPr>
        <w:rStyle w:val="PageNumber"/>
      </w:rPr>
      <w:fldChar w:fldCharType="begin"/>
    </w:r>
    <w:r w:rsidR="002320B9">
      <w:rPr>
        <w:rStyle w:val="PageNumber"/>
      </w:rPr>
      <w:instrText xml:space="preserve">PAGE  </w:instrText>
    </w:r>
    <w:r>
      <w:rPr>
        <w:rStyle w:val="PageNumber"/>
      </w:rPr>
      <w:fldChar w:fldCharType="separate"/>
    </w:r>
    <w:r w:rsidR="00DC4CC2">
      <w:rPr>
        <w:rStyle w:val="PageNumber"/>
        <w:noProof/>
      </w:rPr>
      <w:t>2</w:t>
    </w:r>
    <w:r>
      <w:rPr>
        <w:rStyle w:val="PageNumber"/>
      </w:rPr>
      <w:fldChar w:fldCharType="end"/>
    </w:r>
  </w:p>
  <w:p w:rsidR="002320B9" w:rsidRDefault="00232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45C" w:rsidRDefault="00E2445C">
      <w:r>
        <w:separator/>
      </w:r>
    </w:p>
  </w:footnote>
  <w:footnote w:type="continuationSeparator" w:id="1">
    <w:p w:rsidR="00E2445C" w:rsidRDefault="00E2445C">
      <w:r>
        <w:continuationSeparator/>
      </w:r>
    </w:p>
  </w:footnote>
  <w:footnote w:id="2">
    <w:p w:rsidR="009E2A85" w:rsidRPr="00D960CA" w:rsidRDefault="009E2A85" w:rsidP="008604F7">
      <w:pPr>
        <w:pStyle w:val="FootnoteText"/>
        <w:ind w:firstLine="720"/>
        <w:rPr>
          <w:sz w:val="24"/>
          <w:szCs w:val="24"/>
        </w:rPr>
      </w:pPr>
      <w:r w:rsidRPr="008604F7">
        <w:rPr>
          <w:rStyle w:val="FootnoteReference"/>
          <w:sz w:val="24"/>
          <w:szCs w:val="24"/>
        </w:rPr>
        <w:footnoteRef/>
      </w:r>
      <w:r>
        <w:rPr>
          <w:sz w:val="24"/>
          <w:szCs w:val="24"/>
        </w:rPr>
        <w:t>Because the Supreme Court has held that these two offenses involve moral turpitude, our analysis does not rely on the remaining offenses.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46FF6"/>
    <w:rsid w:val="00012944"/>
    <w:rsid w:val="000226D8"/>
    <w:rsid w:val="00046FF6"/>
    <w:rsid w:val="00053B1A"/>
    <w:rsid w:val="00096BCD"/>
    <w:rsid w:val="00097090"/>
    <w:rsid w:val="000A5D24"/>
    <w:rsid w:val="000D0DAF"/>
    <w:rsid w:val="000E3E96"/>
    <w:rsid w:val="000F272F"/>
    <w:rsid w:val="00105BFC"/>
    <w:rsid w:val="00114ACC"/>
    <w:rsid w:val="00117FE8"/>
    <w:rsid w:val="00134992"/>
    <w:rsid w:val="001354CF"/>
    <w:rsid w:val="001B000A"/>
    <w:rsid w:val="001E43D3"/>
    <w:rsid w:val="001F1251"/>
    <w:rsid w:val="00217B9A"/>
    <w:rsid w:val="002320B9"/>
    <w:rsid w:val="0024127E"/>
    <w:rsid w:val="002450B4"/>
    <w:rsid w:val="00245335"/>
    <w:rsid w:val="00253460"/>
    <w:rsid w:val="00262511"/>
    <w:rsid w:val="00264359"/>
    <w:rsid w:val="00271F22"/>
    <w:rsid w:val="00276DE5"/>
    <w:rsid w:val="0029538C"/>
    <w:rsid w:val="002974ED"/>
    <w:rsid w:val="002A4806"/>
    <w:rsid w:val="002C5DF5"/>
    <w:rsid w:val="002D057B"/>
    <w:rsid w:val="002D2039"/>
    <w:rsid w:val="002D62BE"/>
    <w:rsid w:val="002F7094"/>
    <w:rsid w:val="0031112E"/>
    <w:rsid w:val="003361E3"/>
    <w:rsid w:val="00362C88"/>
    <w:rsid w:val="00366E3A"/>
    <w:rsid w:val="0037346B"/>
    <w:rsid w:val="00394B0C"/>
    <w:rsid w:val="003C57F6"/>
    <w:rsid w:val="003D12B4"/>
    <w:rsid w:val="003E5557"/>
    <w:rsid w:val="003F7305"/>
    <w:rsid w:val="0040208E"/>
    <w:rsid w:val="00432C9A"/>
    <w:rsid w:val="0043611D"/>
    <w:rsid w:val="004A325A"/>
    <w:rsid w:val="004C410C"/>
    <w:rsid w:val="004E43C6"/>
    <w:rsid w:val="004E46C7"/>
    <w:rsid w:val="005373BD"/>
    <w:rsid w:val="00542C1F"/>
    <w:rsid w:val="00550AA5"/>
    <w:rsid w:val="00584CDA"/>
    <w:rsid w:val="0058674D"/>
    <w:rsid w:val="00590820"/>
    <w:rsid w:val="005A0DDC"/>
    <w:rsid w:val="005C6094"/>
    <w:rsid w:val="005C7D4D"/>
    <w:rsid w:val="005E3864"/>
    <w:rsid w:val="005E44AB"/>
    <w:rsid w:val="005F693C"/>
    <w:rsid w:val="005F6C00"/>
    <w:rsid w:val="0060669F"/>
    <w:rsid w:val="0063259C"/>
    <w:rsid w:val="006353BC"/>
    <w:rsid w:val="00636280"/>
    <w:rsid w:val="006474C0"/>
    <w:rsid w:val="00653084"/>
    <w:rsid w:val="006559C6"/>
    <w:rsid w:val="00660CD5"/>
    <w:rsid w:val="00666513"/>
    <w:rsid w:val="0067080B"/>
    <w:rsid w:val="006833AB"/>
    <w:rsid w:val="00692C49"/>
    <w:rsid w:val="006F2E4F"/>
    <w:rsid w:val="006F3028"/>
    <w:rsid w:val="006F5E28"/>
    <w:rsid w:val="006F766D"/>
    <w:rsid w:val="007032F3"/>
    <w:rsid w:val="0075185D"/>
    <w:rsid w:val="00751BE5"/>
    <w:rsid w:val="00763DC9"/>
    <w:rsid w:val="007C6450"/>
    <w:rsid w:val="007C6B93"/>
    <w:rsid w:val="007D1419"/>
    <w:rsid w:val="00822E8B"/>
    <w:rsid w:val="008604F7"/>
    <w:rsid w:val="008852FB"/>
    <w:rsid w:val="00887627"/>
    <w:rsid w:val="008A0872"/>
    <w:rsid w:val="008A6796"/>
    <w:rsid w:val="008A7D17"/>
    <w:rsid w:val="008B66B2"/>
    <w:rsid w:val="008E33AE"/>
    <w:rsid w:val="008F7A02"/>
    <w:rsid w:val="009012F2"/>
    <w:rsid w:val="00915C99"/>
    <w:rsid w:val="00925D33"/>
    <w:rsid w:val="00933862"/>
    <w:rsid w:val="009473DD"/>
    <w:rsid w:val="00952A90"/>
    <w:rsid w:val="0095485A"/>
    <w:rsid w:val="0096410A"/>
    <w:rsid w:val="00966EDF"/>
    <w:rsid w:val="009710C7"/>
    <w:rsid w:val="00976BBC"/>
    <w:rsid w:val="00977497"/>
    <w:rsid w:val="009955B1"/>
    <w:rsid w:val="009E2A85"/>
    <w:rsid w:val="009E50CC"/>
    <w:rsid w:val="00A3604B"/>
    <w:rsid w:val="00A52D67"/>
    <w:rsid w:val="00A75A90"/>
    <w:rsid w:val="00A83820"/>
    <w:rsid w:val="00AC4BD4"/>
    <w:rsid w:val="00AC74E3"/>
    <w:rsid w:val="00B07F50"/>
    <w:rsid w:val="00B122F8"/>
    <w:rsid w:val="00B357B2"/>
    <w:rsid w:val="00B46B1A"/>
    <w:rsid w:val="00B5399F"/>
    <w:rsid w:val="00B71BF1"/>
    <w:rsid w:val="00B81467"/>
    <w:rsid w:val="00B840CD"/>
    <w:rsid w:val="00BA4FC4"/>
    <w:rsid w:val="00BA5475"/>
    <w:rsid w:val="00BA6C83"/>
    <w:rsid w:val="00C05CE3"/>
    <w:rsid w:val="00C12D1B"/>
    <w:rsid w:val="00C20039"/>
    <w:rsid w:val="00C25F18"/>
    <w:rsid w:val="00C35EAB"/>
    <w:rsid w:val="00C40588"/>
    <w:rsid w:val="00C51602"/>
    <w:rsid w:val="00C8172B"/>
    <w:rsid w:val="00C945F4"/>
    <w:rsid w:val="00CA45BD"/>
    <w:rsid w:val="00CE0D7E"/>
    <w:rsid w:val="00CE1027"/>
    <w:rsid w:val="00D01ED9"/>
    <w:rsid w:val="00D06122"/>
    <w:rsid w:val="00D2101F"/>
    <w:rsid w:val="00D213E2"/>
    <w:rsid w:val="00D3732F"/>
    <w:rsid w:val="00D76917"/>
    <w:rsid w:val="00D84666"/>
    <w:rsid w:val="00D960CA"/>
    <w:rsid w:val="00DC4CC2"/>
    <w:rsid w:val="00DD019D"/>
    <w:rsid w:val="00DD3BEA"/>
    <w:rsid w:val="00DD7D79"/>
    <w:rsid w:val="00DF4B7D"/>
    <w:rsid w:val="00E225BD"/>
    <w:rsid w:val="00E2445C"/>
    <w:rsid w:val="00E31B5C"/>
    <w:rsid w:val="00E33741"/>
    <w:rsid w:val="00E67081"/>
    <w:rsid w:val="00E774A6"/>
    <w:rsid w:val="00EB36F6"/>
    <w:rsid w:val="00ED19F8"/>
    <w:rsid w:val="00ED1FDC"/>
    <w:rsid w:val="00ED5B1B"/>
    <w:rsid w:val="00ED689E"/>
    <w:rsid w:val="00F01359"/>
    <w:rsid w:val="00F6274F"/>
    <w:rsid w:val="00F6502B"/>
    <w:rsid w:val="00F85B87"/>
    <w:rsid w:val="00FA2B86"/>
    <w:rsid w:val="00FC6ACF"/>
    <w:rsid w:val="00FD17A8"/>
    <w:rsid w:val="00FE7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6410A"/>
    <w:pPr>
      <w:tabs>
        <w:tab w:val="center" w:pos="4320"/>
        <w:tab w:val="right" w:pos="8640"/>
      </w:tabs>
    </w:pPr>
  </w:style>
  <w:style w:type="character" w:styleId="PageNumber">
    <w:name w:val="page number"/>
    <w:basedOn w:val="DefaultParagraphFont"/>
    <w:semiHidden/>
    <w:rsid w:val="0096410A"/>
  </w:style>
  <w:style w:type="paragraph" w:styleId="FootnoteText">
    <w:name w:val="footnote text"/>
    <w:basedOn w:val="Normal"/>
    <w:semiHidden/>
    <w:rsid w:val="0096410A"/>
    <w:rPr>
      <w:sz w:val="20"/>
      <w:szCs w:val="20"/>
    </w:rPr>
  </w:style>
  <w:style w:type="character" w:styleId="FootnoteReference">
    <w:name w:val="footnote reference"/>
    <w:basedOn w:val="DefaultParagraphFont"/>
    <w:semiHidden/>
    <w:rsid w:val="0096410A"/>
    <w:rPr>
      <w:vertAlign w:val="superscript"/>
    </w:rPr>
  </w:style>
</w:styles>
</file>

<file path=word/webSettings.xml><?xml version="1.0" encoding="utf-8"?>
<w:webSettings xmlns:r="http://schemas.openxmlformats.org/officeDocument/2006/relationships" xmlns:w="http://schemas.openxmlformats.org/wordprocessingml/2006/main">
  <w:divs>
    <w:div w:id="1309284317">
      <w:bodyDiv w:val="1"/>
      <w:marLeft w:val="0"/>
      <w:marRight w:val="0"/>
      <w:marTop w:val="0"/>
      <w:marBottom w:val="0"/>
      <w:divBdr>
        <w:top w:val="none" w:sz="0" w:space="0" w:color="auto"/>
        <w:left w:val="none" w:sz="0" w:space="0" w:color="auto"/>
        <w:bottom w:val="none" w:sz="0" w:space="0" w:color="auto"/>
        <w:right w:val="none" w:sz="0" w:space="0" w:color="auto"/>
      </w:divBdr>
      <w:divsChild>
        <w:div w:id="1580599519">
          <w:marLeft w:val="0"/>
          <w:marRight w:val="0"/>
          <w:marTop w:val="0"/>
          <w:marBottom w:val="0"/>
          <w:divBdr>
            <w:top w:val="none" w:sz="0" w:space="0" w:color="auto"/>
            <w:left w:val="single" w:sz="4" w:space="0" w:color="999999"/>
            <w:bottom w:val="none" w:sz="0" w:space="0" w:color="auto"/>
            <w:right w:val="single" w:sz="4" w:space="0" w:color="999999"/>
          </w:divBdr>
          <w:divsChild>
            <w:div w:id="119804421">
              <w:marLeft w:val="125"/>
              <w:marRight w:val="0"/>
              <w:marTop w:val="0"/>
              <w:marBottom w:val="125"/>
              <w:divBdr>
                <w:top w:val="none" w:sz="0" w:space="0" w:color="auto"/>
                <w:left w:val="none" w:sz="0" w:space="0" w:color="auto"/>
                <w:bottom w:val="none" w:sz="0" w:space="0" w:color="auto"/>
                <w:right w:val="none" w:sz="0" w:space="0" w:color="auto"/>
              </w:divBdr>
              <w:divsChild>
                <w:div w:id="1742095955">
                  <w:marLeft w:val="0"/>
                  <w:marRight w:val="0"/>
                  <w:marTop w:val="0"/>
                  <w:marBottom w:val="0"/>
                  <w:divBdr>
                    <w:top w:val="none" w:sz="0" w:space="0" w:color="auto"/>
                    <w:left w:val="none" w:sz="0" w:space="0" w:color="auto"/>
                    <w:bottom w:val="none" w:sz="0" w:space="0" w:color="auto"/>
                    <w:right w:val="none" w:sz="0" w:space="0" w:color="auto"/>
                  </w:divBdr>
                  <w:divsChild>
                    <w:div w:id="440223098">
                      <w:marLeft w:val="0"/>
                      <w:marRight w:val="0"/>
                      <w:marTop w:val="0"/>
                      <w:marBottom w:val="0"/>
                      <w:divBdr>
                        <w:top w:val="none" w:sz="0" w:space="0" w:color="auto"/>
                        <w:left w:val="none" w:sz="0" w:space="0" w:color="auto"/>
                        <w:bottom w:val="none" w:sz="0" w:space="0" w:color="auto"/>
                        <w:right w:val="none" w:sz="0" w:space="0" w:color="auto"/>
                      </w:divBdr>
                      <w:divsChild>
                        <w:div w:id="14846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6D04-46AF-437A-9E24-9954A093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REVIEW DEPARTMENT OF THE STATE BAR COURT</vt:lpstr>
    </vt:vector>
  </TitlesOfParts>
  <Company>State Bar of California</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DEPARTMENT OF THE STATE BAR COURT</dc:title>
  <dc:subject/>
  <dc:creator>chatfieg</dc:creator>
  <cp:keywords/>
  <dc:description/>
  <cp:lastModifiedBy>Rosalie Ruiz</cp:lastModifiedBy>
  <cp:revision>4</cp:revision>
  <cp:lastPrinted>2008-12-16T19:34:00Z</cp:lastPrinted>
  <dcterms:created xsi:type="dcterms:W3CDTF">2008-12-16T20:40:00Z</dcterms:created>
  <dcterms:modified xsi:type="dcterms:W3CDTF">2008-12-29T22:29:00Z</dcterms:modified>
</cp:coreProperties>
</file>