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497A94" w:rsidRDefault="00A570FB" w:rsidP="00497A94">
      <w:pPr>
        <w:pStyle w:val="Footnote"/>
      </w:pPr>
      <w:bookmarkStart w:id="0" w:name="designation"/>
      <w:bookmarkEnd w:id="0"/>
      <w:r>
        <w:t>P</w:t>
      </w:r>
      <w:r w:rsidR="00E7069B">
        <w:t>UBLIC MATTER – D</w:t>
      </w:r>
      <w:r>
        <w:t>ESIGNATED FOR PUBLICATION</w:t>
      </w:r>
    </w:p>
    <w:p w:rsidR="00835F54" w:rsidRPr="00C11CC8" w:rsidRDefault="00835F54" w:rsidP="00497A94">
      <w:pPr>
        <w:pStyle w:val="Footnote"/>
      </w:pPr>
    </w:p>
    <w:p w:rsidR="00C11CC8" w:rsidRPr="00BF1AAE" w:rsidRDefault="00BF1547" w:rsidP="00BF1547">
      <w:pPr>
        <w:jc w:val="right"/>
        <w:rPr>
          <w:b/>
        </w:rPr>
      </w:pPr>
      <w:r w:rsidRPr="00BF1AAE">
        <w:rPr>
          <w:b/>
        </w:rPr>
        <w:t>FILED AUGUST 12, 2010</w:t>
      </w:r>
    </w:p>
    <w:p w:rsidR="00B574E6" w:rsidRPr="00C11CC8" w:rsidRDefault="00B574E6"/>
    <w:p w:rsidR="00C11CC8" w:rsidRPr="00C11CC8" w:rsidRDefault="00C11CC8"/>
    <w:p w:rsidR="00C11CC8" w:rsidRPr="00C11CC8" w:rsidRDefault="00C11CC8" w:rsidP="00C11CC8">
      <w:pPr>
        <w:spacing w:line="240" w:lineRule="auto"/>
        <w:jc w:val="center"/>
        <w:rPr>
          <w:b/>
        </w:rPr>
      </w:pPr>
      <w:r w:rsidRPr="00C11CC8">
        <w:rPr>
          <w:b/>
        </w:rPr>
        <w:t>REVIEW DEPARTMENT OF THE STATE BAR COURT</w:t>
      </w:r>
    </w:p>
    <w:p w:rsidR="00C11CC8" w:rsidRPr="00C11CC8" w:rsidRDefault="00C11CC8" w:rsidP="00C11CC8">
      <w:pPr>
        <w:rPr>
          <w:b/>
        </w:rPr>
      </w:pPr>
    </w:p>
    <w:tbl>
      <w:tblPr>
        <w:tblStyle w:val="TableGrid"/>
        <w:tblW w:w="0" w:type="auto"/>
        <w:tblLook w:val="04A0"/>
      </w:tblPr>
      <w:tblGrid>
        <w:gridCol w:w="4367"/>
        <w:gridCol w:w="899"/>
        <w:gridCol w:w="4202"/>
      </w:tblGrid>
      <w:tr w:rsidR="00C11CC8" w:rsidRPr="00C11CC8" w:rsidTr="007F537A">
        <w:tc>
          <w:tcPr>
            <w:tcW w:w="4416" w:type="dxa"/>
            <w:tcBorders>
              <w:top w:val="nil"/>
              <w:left w:val="nil"/>
              <w:right w:val="nil"/>
            </w:tcBorders>
            <w:tcMar>
              <w:left w:w="0" w:type="dxa"/>
              <w:right w:w="0" w:type="dxa"/>
            </w:tcMar>
          </w:tcPr>
          <w:p w:rsidR="00C11CC8" w:rsidRDefault="00C11CC8" w:rsidP="009216E0">
            <w:pPr>
              <w:spacing w:line="240" w:lineRule="auto"/>
            </w:pPr>
            <w:r>
              <w:t>In the Matter of</w:t>
            </w:r>
          </w:p>
          <w:p w:rsidR="009216E0" w:rsidRDefault="009216E0" w:rsidP="009216E0">
            <w:pPr>
              <w:spacing w:line="240" w:lineRule="auto"/>
            </w:pPr>
          </w:p>
          <w:p w:rsidR="00C11CC8" w:rsidRPr="00497A94" w:rsidRDefault="00CB12EF" w:rsidP="009216E0">
            <w:pPr>
              <w:spacing w:line="240" w:lineRule="auto"/>
              <w:rPr>
                <w:b/>
              </w:rPr>
            </w:pPr>
            <w:bookmarkStart w:id="1" w:name="Respondent"/>
            <w:bookmarkEnd w:id="1"/>
            <w:r>
              <w:rPr>
                <w:b/>
              </w:rPr>
              <w:t>HAROLD VINCENT SULLIVAN II</w:t>
            </w:r>
            <w:r w:rsidR="00C11CC8" w:rsidRPr="00497A94">
              <w:rPr>
                <w:b/>
              </w:rPr>
              <w:t>,</w:t>
            </w:r>
          </w:p>
          <w:p w:rsidR="009216E0" w:rsidRDefault="009216E0" w:rsidP="009216E0">
            <w:pPr>
              <w:spacing w:line="240" w:lineRule="auto"/>
            </w:pPr>
          </w:p>
          <w:p w:rsidR="009216E0" w:rsidRPr="009216E0" w:rsidRDefault="00A570FB" w:rsidP="009216E0">
            <w:pPr>
              <w:spacing w:line="240" w:lineRule="auto"/>
            </w:pPr>
            <w:bookmarkStart w:id="2" w:name="type"/>
            <w:bookmarkEnd w:id="2"/>
            <w:r>
              <w:t>A Member of the State Bar.</w:t>
            </w:r>
          </w:p>
          <w:p w:rsidR="009216E0" w:rsidRPr="00C11CC8" w:rsidRDefault="009216E0" w:rsidP="009216E0">
            <w:pPr>
              <w:spacing w:line="240" w:lineRule="auto"/>
            </w:pPr>
          </w:p>
        </w:tc>
        <w:tc>
          <w:tcPr>
            <w:tcW w:w="912" w:type="dxa"/>
            <w:tcBorders>
              <w:top w:val="nil"/>
              <w:left w:val="nil"/>
              <w:bottom w:val="nil"/>
              <w:right w:val="nil"/>
            </w:tcBorders>
            <w:tcMar>
              <w:left w:w="0" w:type="dxa"/>
              <w:right w:w="0" w:type="dxa"/>
            </w:tcMar>
          </w:tcPr>
          <w:p w:rsidR="00C11CC8" w:rsidRDefault="00C11CC8" w:rsidP="009216E0">
            <w:pPr>
              <w:spacing w:line="240" w:lineRule="auto"/>
              <w:rPr>
                <w:b/>
              </w:rPr>
            </w:pPr>
            <w:r>
              <w:rPr>
                <w:b/>
              </w:rPr>
              <w:t>)</w:t>
            </w:r>
          </w:p>
          <w:p w:rsidR="009216E0" w:rsidRPr="00C11CC8" w:rsidRDefault="009216E0" w:rsidP="009216E0">
            <w:pPr>
              <w:spacing w:line="240" w:lineRule="auto"/>
              <w:rPr>
                <w:b/>
              </w:rPr>
            </w:pPr>
            <w:r>
              <w:rPr>
                <w:b/>
              </w:rPr>
              <w:t>)</w:t>
            </w:r>
            <w:r>
              <w:rPr>
                <w:b/>
              </w:rPr>
              <w:br/>
              <w:t>)</w:t>
            </w:r>
            <w:r>
              <w:rPr>
                <w:b/>
              </w:rPr>
              <w:br/>
              <w:t>)</w:t>
            </w:r>
            <w:r>
              <w:rPr>
                <w:b/>
              </w:rPr>
              <w:br/>
              <w:t>)</w:t>
            </w:r>
            <w:r>
              <w:rPr>
                <w:b/>
              </w:rPr>
              <w:br/>
              <w:t>)</w:t>
            </w:r>
          </w:p>
        </w:tc>
        <w:tc>
          <w:tcPr>
            <w:tcW w:w="4248" w:type="dxa"/>
            <w:tcBorders>
              <w:top w:val="nil"/>
              <w:left w:val="nil"/>
              <w:bottom w:val="nil"/>
              <w:right w:val="nil"/>
            </w:tcBorders>
          </w:tcPr>
          <w:p w:rsidR="00C11CC8" w:rsidRPr="00497A94" w:rsidRDefault="00C11CC8" w:rsidP="009216E0">
            <w:pPr>
              <w:spacing w:line="240" w:lineRule="auto"/>
              <w:rPr>
                <w:b/>
              </w:rPr>
            </w:pPr>
            <w:r>
              <w:t>No</w:t>
            </w:r>
            <w:r w:rsidRPr="00497A94">
              <w:rPr>
                <w:b/>
              </w:rPr>
              <w:t>.</w:t>
            </w:r>
            <w:r w:rsidR="009216E0" w:rsidRPr="00497A94">
              <w:rPr>
                <w:b/>
              </w:rPr>
              <w:t xml:space="preserve"> </w:t>
            </w:r>
            <w:bookmarkStart w:id="3" w:name="caseno"/>
            <w:bookmarkEnd w:id="3"/>
            <w:r w:rsidR="00A570FB">
              <w:rPr>
                <w:b/>
              </w:rPr>
              <w:t>08-C-12029</w:t>
            </w:r>
          </w:p>
          <w:p w:rsidR="009216E0" w:rsidRDefault="009216E0" w:rsidP="009216E0">
            <w:pPr>
              <w:spacing w:line="240" w:lineRule="auto"/>
            </w:pPr>
          </w:p>
          <w:p w:rsidR="007F537A" w:rsidRDefault="00A570FB" w:rsidP="009216E0">
            <w:pPr>
              <w:spacing w:line="240" w:lineRule="auto"/>
              <w:rPr>
                <w:b/>
              </w:rPr>
            </w:pPr>
            <w:bookmarkStart w:id="4" w:name="title"/>
            <w:bookmarkEnd w:id="4"/>
            <w:r>
              <w:rPr>
                <w:b/>
              </w:rPr>
              <w:t>OPINION ON REVIEW</w:t>
            </w:r>
            <w:r w:rsidR="00EF0873">
              <w:rPr>
                <w:b/>
              </w:rPr>
              <w:t xml:space="preserve"> AND ORDER</w:t>
            </w:r>
          </w:p>
          <w:p w:rsidR="00E9720F" w:rsidRPr="009216E0" w:rsidRDefault="00E9720F" w:rsidP="005906E5">
            <w:pPr>
              <w:spacing w:line="240" w:lineRule="auto"/>
              <w:rPr>
                <w:b/>
              </w:rPr>
            </w:pPr>
          </w:p>
        </w:tc>
      </w:tr>
    </w:tbl>
    <w:p w:rsidR="00CB12EF" w:rsidRDefault="00CB12EF" w:rsidP="00CB12EF">
      <w:pPr>
        <w:rPr>
          <w:b/>
        </w:rPr>
      </w:pPr>
    </w:p>
    <w:p w:rsidR="00CB12EF" w:rsidRPr="00CB12EF" w:rsidRDefault="00CB12EF" w:rsidP="00CB12EF">
      <w:pPr>
        <w:jc w:val="center"/>
        <w:rPr>
          <w:b/>
        </w:rPr>
      </w:pPr>
      <w:r>
        <w:rPr>
          <w:b/>
        </w:rPr>
        <w:t xml:space="preserve">I.  </w:t>
      </w:r>
      <w:r w:rsidR="00526CC2" w:rsidRPr="00CB12EF">
        <w:rPr>
          <w:b/>
        </w:rPr>
        <w:t>SUMMARY</w:t>
      </w:r>
    </w:p>
    <w:p w:rsidR="00B65ECC" w:rsidRDefault="00D743A2" w:rsidP="00A7487C">
      <w:pPr>
        <w:ind w:firstLine="360"/>
      </w:pPr>
      <w:r>
        <w:tab/>
      </w:r>
      <w:r w:rsidR="00AB276C">
        <w:t xml:space="preserve">In his </w:t>
      </w:r>
      <w:r w:rsidR="00480514">
        <w:t>fourth disciplinary proceeding</w:t>
      </w:r>
      <w:r w:rsidR="00AB276C">
        <w:t>,</w:t>
      </w:r>
      <w:r w:rsidR="00480514">
        <w:t xml:space="preserve"> respondent Harold Vincent Sullivan II</w:t>
      </w:r>
      <w:r w:rsidR="00AB276C">
        <w:t xml:space="preserve"> </w:t>
      </w:r>
      <w:r w:rsidR="00480514">
        <w:t xml:space="preserve">requests </w:t>
      </w:r>
      <w:r w:rsidR="00CE6FAB">
        <w:t xml:space="preserve">review of </w:t>
      </w:r>
      <w:r w:rsidR="00480514">
        <w:t xml:space="preserve">a hearing judge’s </w:t>
      </w:r>
      <w:r w:rsidR="00CE6FAB">
        <w:t>recommendation that he be disbarred</w:t>
      </w:r>
      <w:r w:rsidR="00480514">
        <w:t xml:space="preserve">.  In 1999, </w:t>
      </w:r>
      <w:r w:rsidR="00B07AB6">
        <w:t xml:space="preserve">Sullivan </w:t>
      </w:r>
      <w:r w:rsidR="00854205">
        <w:t xml:space="preserve">entered a plea to </w:t>
      </w:r>
      <w:r w:rsidR="00B07AB6">
        <w:t>conspiracy to obstruct justice</w:t>
      </w:r>
      <w:r w:rsidR="00526CC2">
        <w:t>, a misdemeanor involving moral turpitude per se</w:t>
      </w:r>
      <w:r w:rsidR="00EE1F1F">
        <w:t>.  He never reported</w:t>
      </w:r>
      <w:r w:rsidR="00480514">
        <w:t xml:space="preserve"> the </w:t>
      </w:r>
      <w:r w:rsidR="00EE1F1F">
        <w:t xml:space="preserve">criminal </w:t>
      </w:r>
      <w:r w:rsidR="00480514">
        <w:t xml:space="preserve">charges </w:t>
      </w:r>
      <w:r w:rsidR="00854205">
        <w:t>or</w:t>
      </w:r>
      <w:r w:rsidR="00480514">
        <w:t xml:space="preserve"> conviction to the State Bar.  </w:t>
      </w:r>
      <w:r w:rsidR="00294323">
        <w:t xml:space="preserve">After </w:t>
      </w:r>
      <w:r w:rsidR="00B574E6">
        <w:t>Sullivan’s conviction</w:t>
      </w:r>
      <w:r w:rsidR="00294323">
        <w:t xml:space="preserve"> was </w:t>
      </w:r>
      <w:r w:rsidR="00B65ECC">
        <w:t>transmitted to us,</w:t>
      </w:r>
      <w:r w:rsidR="00294323">
        <w:t xml:space="preserve"> w</w:t>
      </w:r>
      <w:r w:rsidR="00CE6FAB">
        <w:t xml:space="preserve">e referred </w:t>
      </w:r>
      <w:r w:rsidR="00B574E6">
        <w:t>it</w:t>
      </w:r>
      <w:r w:rsidR="006523EA">
        <w:t xml:space="preserve"> </w:t>
      </w:r>
      <w:r w:rsidR="00526CC2">
        <w:t xml:space="preserve">to </w:t>
      </w:r>
      <w:r w:rsidR="00A7487C">
        <w:t xml:space="preserve">the hearing department to </w:t>
      </w:r>
      <w:r w:rsidR="00294323">
        <w:t>recommend</w:t>
      </w:r>
      <w:r w:rsidR="00A7487C">
        <w:t xml:space="preserve"> </w:t>
      </w:r>
      <w:r w:rsidR="004B4CD4">
        <w:t>the</w:t>
      </w:r>
      <w:r w:rsidR="00526CC2">
        <w:t xml:space="preserve"> </w:t>
      </w:r>
      <w:r w:rsidR="002F21E3">
        <w:t xml:space="preserve">appropriate </w:t>
      </w:r>
      <w:r w:rsidR="00A7487C">
        <w:t>discipli</w:t>
      </w:r>
      <w:r w:rsidR="00D71950">
        <w:t>ne</w:t>
      </w:r>
      <w:r w:rsidR="00CE6FAB">
        <w:t xml:space="preserve">.  </w:t>
      </w:r>
      <w:r w:rsidR="00294323">
        <w:t xml:space="preserve">The </w:t>
      </w:r>
      <w:r w:rsidR="00D71950">
        <w:t xml:space="preserve">hearing judge found </w:t>
      </w:r>
      <w:r w:rsidR="00526CC2">
        <w:t xml:space="preserve">that </w:t>
      </w:r>
      <w:r w:rsidR="00D71950">
        <w:t xml:space="preserve">Sullivan’s </w:t>
      </w:r>
      <w:r w:rsidR="00B574E6">
        <w:t>misconduct</w:t>
      </w:r>
      <w:r w:rsidR="00CE6FAB">
        <w:t xml:space="preserve"> was significantly </w:t>
      </w:r>
      <w:r w:rsidR="005906E5">
        <w:t xml:space="preserve">aggravated </w:t>
      </w:r>
      <w:r w:rsidR="002A6F29">
        <w:t>because he has</w:t>
      </w:r>
      <w:r w:rsidR="006523EA">
        <w:t xml:space="preserve"> </w:t>
      </w:r>
      <w:r w:rsidR="005906E5">
        <w:t xml:space="preserve">three prior records of discipline and </w:t>
      </w:r>
      <w:r w:rsidR="00854205">
        <w:t xml:space="preserve">he </w:t>
      </w:r>
      <w:r w:rsidR="002A6F29">
        <w:t>failed</w:t>
      </w:r>
      <w:r w:rsidR="005906E5">
        <w:t xml:space="preserve"> to report </w:t>
      </w:r>
      <w:r w:rsidR="00480514">
        <w:t xml:space="preserve">the charges </w:t>
      </w:r>
      <w:r w:rsidR="00EE1F1F">
        <w:t>and</w:t>
      </w:r>
      <w:r w:rsidR="00480514">
        <w:t xml:space="preserve"> </w:t>
      </w:r>
      <w:r w:rsidR="00B07AB6">
        <w:t>conviction</w:t>
      </w:r>
      <w:r w:rsidR="00B574E6">
        <w:t xml:space="preserve"> to the State Bar</w:t>
      </w:r>
      <w:r w:rsidR="00B07AB6">
        <w:t>.</w:t>
      </w:r>
      <w:r w:rsidR="00526CC2">
        <w:t xml:space="preserve">  </w:t>
      </w:r>
      <w:r w:rsidR="00F7572F">
        <w:t>In recommending disbarment, the</w:t>
      </w:r>
      <w:r w:rsidR="00CE6FAB">
        <w:t xml:space="preserve"> hearing judge applied </w:t>
      </w:r>
      <w:r w:rsidR="00CB3B9F">
        <w:t>two standards that call for disbarment absent compelling mitigation</w:t>
      </w:r>
      <w:r w:rsidR="00B65ECC">
        <w:t>:</w:t>
      </w:r>
      <w:r w:rsidR="00CB3B9F">
        <w:t xml:space="preserve"> </w:t>
      </w:r>
      <w:r w:rsidR="00B65ECC">
        <w:t xml:space="preserve"> </w:t>
      </w:r>
      <w:r w:rsidR="004B4CD4">
        <w:t>st</w:t>
      </w:r>
      <w:r w:rsidR="00B65ECC">
        <w:t>andard</w:t>
      </w:r>
      <w:r w:rsidR="004B4CD4">
        <w:t xml:space="preserve"> </w:t>
      </w:r>
      <w:r w:rsidR="00CB3B9F">
        <w:t xml:space="preserve">3.2 </w:t>
      </w:r>
      <w:r w:rsidR="0017257B">
        <w:t xml:space="preserve">for criminal convictions involving </w:t>
      </w:r>
      <w:r w:rsidR="00CB3B9F">
        <w:t xml:space="preserve">moral turpitude </w:t>
      </w:r>
      <w:r w:rsidR="00926AB7">
        <w:t xml:space="preserve">and </w:t>
      </w:r>
      <w:r w:rsidR="004B4CD4">
        <w:t>st</w:t>
      </w:r>
      <w:r w:rsidR="007B4F94">
        <w:t>andar</w:t>
      </w:r>
      <w:r w:rsidR="00877668">
        <w:t>d</w:t>
      </w:r>
      <w:r w:rsidR="004B4CD4">
        <w:t xml:space="preserve"> </w:t>
      </w:r>
      <w:r w:rsidR="00CB3B9F">
        <w:t>1.7</w:t>
      </w:r>
      <w:r w:rsidR="006523EA">
        <w:t>(b) for two</w:t>
      </w:r>
      <w:r w:rsidR="00CB3B9F">
        <w:t xml:space="preserve"> or more records of discipline.</w:t>
      </w:r>
      <w:r w:rsidR="00B65ECC">
        <w:rPr>
          <w:rStyle w:val="FootnoteReference"/>
        </w:rPr>
        <w:footnoteReference w:id="2"/>
      </w:r>
      <w:r w:rsidR="00526CC2">
        <w:t xml:space="preserve"> </w:t>
      </w:r>
      <w:r w:rsidR="00B65ECC">
        <w:t xml:space="preserve"> </w:t>
      </w:r>
      <w:r w:rsidR="00B574E6">
        <w:t xml:space="preserve">The State Bar Office </w:t>
      </w:r>
      <w:r w:rsidR="00B574E6">
        <w:lastRenderedPageBreak/>
        <w:t>of the Chief Trial Counsel (St</w:t>
      </w:r>
      <w:r w:rsidR="004B66E7">
        <w:t xml:space="preserve">ate Bar) did not seek review and </w:t>
      </w:r>
      <w:r w:rsidR="00B574E6">
        <w:t xml:space="preserve">supports the hearing judge’s decision.  </w:t>
      </w:r>
    </w:p>
    <w:p w:rsidR="00783AF1" w:rsidRPr="00783AF1" w:rsidRDefault="00B979AC" w:rsidP="007B4F94">
      <w:pPr>
        <w:ind w:firstLine="720"/>
      </w:pPr>
      <w:r>
        <w:t xml:space="preserve">Sullivan </w:t>
      </w:r>
      <w:r w:rsidR="002A6F29">
        <w:t>contends</w:t>
      </w:r>
      <w:r w:rsidR="00480514">
        <w:t xml:space="preserve"> </w:t>
      </w:r>
      <w:r>
        <w:t>that disbarment is too harsh</w:t>
      </w:r>
      <w:r w:rsidR="006222AF">
        <w:t xml:space="preserve"> and </w:t>
      </w:r>
      <w:r w:rsidR="00EB222C">
        <w:t>s</w:t>
      </w:r>
      <w:r w:rsidR="00C622E1">
        <w:t xml:space="preserve">tandard 1.7(b) should not apply because </w:t>
      </w:r>
      <w:r w:rsidR="006222AF">
        <w:t xml:space="preserve">there is no common thread </w:t>
      </w:r>
      <w:r w:rsidR="00854205">
        <w:t>or repe</w:t>
      </w:r>
      <w:r w:rsidR="00B574E6">
        <w:t xml:space="preserve">ated </w:t>
      </w:r>
      <w:r w:rsidR="006222AF">
        <w:t>misconduct</w:t>
      </w:r>
      <w:r w:rsidR="00B574E6">
        <w:t xml:space="preserve"> in each of</w:t>
      </w:r>
      <w:r w:rsidR="00C622E1">
        <w:t xml:space="preserve"> his disciplin</w:t>
      </w:r>
      <w:r w:rsidR="00B574E6">
        <w:t>es</w:t>
      </w:r>
      <w:r w:rsidR="002A6F29">
        <w:t xml:space="preserve">.  </w:t>
      </w:r>
      <w:r w:rsidR="004B66E7">
        <w:t>Sullivan</w:t>
      </w:r>
      <w:r>
        <w:t xml:space="preserve"> urges us to </w:t>
      </w:r>
      <w:r w:rsidR="005906E5">
        <w:t>assign more</w:t>
      </w:r>
      <w:r w:rsidR="006B0D62">
        <w:t xml:space="preserve"> mitigation</w:t>
      </w:r>
      <w:r w:rsidR="005906E5">
        <w:t xml:space="preserve"> credit to </w:t>
      </w:r>
      <w:r w:rsidR="00CE6FAB">
        <w:t>his pro bono work</w:t>
      </w:r>
      <w:r w:rsidR="00AB276C">
        <w:t>,</w:t>
      </w:r>
      <w:r>
        <w:t xml:space="preserve"> </w:t>
      </w:r>
      <w:r w:rsidR="00367231">
        <w:t>apply</w:t>
      </w:r>
      <w:r>
        <w:t xml:space="preserve"> less weight to his </w:t>
      </w:r>
      <w:r w:rsidR="00C622E1">
        <w:t xml:space="preserve">records of </w:t>
      </w:r>
      <w:r w:rsidR="002A6F29">
        <w:t>discipline</w:t>
      </w:r>
      <w:r>
        <w:t xml:space="preserve"> </w:t>
      </w:r>
      <w:r w:rsidR="00480514">
        <w:t xml:space="preserve">and recommend </w:t>
      </w:r>
      <w:r w:rsidR="00AB276C">
        <w:t xml:space="preserve">an </w:t>
      </w:r>
      <w:r w:rsidR="00480514">
        <w:t>actual suspension</w:t>
      </w:r>
      <w:r w:rsidR="00AB276C">
        <w:t xml:space="preserve"> equal to </w:t>
      </w:r>
      <w:r w:rsidR="002A6F29">
        <w:t xml:space="preserve">the </w:t>
      </w:r>
      <w:r w:rsidR="00AB276C">
        <w:t>time he has been on interim suspension.</w:t>
      </w:r>
      <w:r>
        <w:t xml:space="preserve">  </w:t>
      </w:r>
      <w:r w:rsidR="00F7572F">
        <w:t xml:space="preserve">The primary issue before us </w:t>
      </w:r>
      <w:r w:rsidR="002A6F29">
        <w:t xml:space="preserve">is whether </w:t>
      </w:r>
      <w:r w:rsidR="00854205">
        <w:t xml:space="preserve">standard 1.7(b) requires </w:t>
      </w:r>
      <w:r w:rsidR="006222AF">
        <w:t xml:space="preserve">a common thread </w:t>
      </w:r>
      <w:r w:rsidR="00854205">
        <w:t>or repetitive pattern of misconduct</w:t>
      </w:r>
      <w:r w:rsidR="00294323">
        <w:t xml:space="preserve"> in </w:t>
      </w:r>
      <w:r w:rsidR="00B574E6">
        <w:t>Sullivan’s four</w:t>
      </w:r>
      <w:r w:rsidR="00294323">
        <w:t xml:space="preserve"> discipline records</w:t>
      </w:r>
      <w:r w:rsidR="00854205">
        <w:t>.  We conclude it does not</w:t>
      </w:r>
      <w:r w:rsidR="00294323">
        <w:t>,</w:t>
      </w:r>
      <w:r w:rsidR="00854205">
        <w:t xml:space="preserve"> and recommend </w:t>
      </w:r>
      <w:r w:rsidR="006B0D62">
        <w:t xml:space="preserve">that </w:t>
      </w:r>
      <w:r w:rsidR="00854205">
        <w:t xml:space="preserve">Sullivan be disbarred under standards 3.2 and 1.7(b), given his moral turpitude criminal conviction, his </w:t>
      </w:r>
      <w:r w:rsidR="00294323">
        <w:t xml:space="preserve">extensive </w:t>
      </w:r>
      <w:r w:rsidR="00854205">
        <w:t xml:space="preserve">disciplinary record and </w:t>
      </w:r>
      <w:r w:rsidR="00294323">
        <w:t xml:space="preserve">his failure to prove </w:t>
      </w:r>
      <w:r w:rsidR="00854205">
        <w:t xml:space="preserve">compelling mitigation.  </w:t>
      </w:r>
    </w:p>
    <w:p w:rsidR="00783AF1" w:rsidRPr="00DC46E8" w:rsidRDefault="00DC46E8" w:rsidP="00DC46E8">
      <w:pPr>
        <w:jc w:val="center"/>
        <w:rPr>
          <w:b/>
        </w:rPr>
      </w:pPr>
      <w:r>
        <w:rPr>
          <w:b/>
        </w:rPr>
        <w:t xml:space="preserve">II.  </w:t>
      </w:r>
      <w:r w:rsidR="00B65FDA" w:rsidRPr="00DC46E8">
        <w:rPr>
          <w:b/>
        </w:rPr>
        <w:t>PROCEDURAL HISTORY</w:t>
      </w:r>
    </w:p>
    <w:p w:rsidR="007B4F94" w:rsidRDefault="00D743A2" w:rsidP="001B4945">
      <w:pPr>
        <w:ind w:firstLine="360"/>
      </w:pPr>
      <w:r>
        <w:tab/>
      </w:r>
      <w:r w:rsidR="007B66CF">
        <w:t>Sullivan was admitted to practice law in California</w:t>
      </w:r>
      <w:r w:rsidR="00FE47DF">
        <w:t xml:space="preserve"> in 1967. </w:t>
      </w:r>
      <w:r w:rsidR="001B4945">
        <w:t xml:space="preserve"> </w:t>
      </w:r>
      <w:r w:rsidR="006222AF">
        <w:t xml:space="preserve">He </w:t>
      </w:r>
      <w:r w:rsidR="001B4945">
        <w:t xml:space="preserve">was </w:t>
      </w:r>
      <w:r w:rsidR="00B07AB6">
        <w:t xml:space="preserve">disciplined three times </w:t>
      </w:r>
      <w:r w:rsidR="00294323">
        <w:t xml:space="preserve">for </w:t>
      </w:r>
      <w:r w:rsidR="006222AF">
        <w:t>violating</w:t>
      </w:r>
      <w:r w:rsidR="00B07AB6">
        <w:t xml:space="preserve"> the Rules of Professional </w:t>
      </w:r>
      <w:r w:rsidR="00A03974">
        <w:t>Conduct</w:t>
      </w:r>
      <w:r w:rsidR="007170A1">
        <w:rPr>
          <w:rStyle w:val="FootnoteReference"/>
        </w:rPr>
        <w:footnoteReference w:id="3"/>
      </w:r>
      <w:r w:rsidR="00A03974">
        <w:t xml:space="preserve"> and the State Bar Act</w:t>
      </w:r>
      <w:r w:rsidR="006222AF">
        <w:rPr>
          <w:rStyle w:val="FootnoteReference"/>
        </w:rPr>
        <w:footnoteReference w:id="4"/>
      </w:r>
      <w:r w:rsidR="006222AF">
        <w:t xml:space="preserve"> for misconduct </w:t>
      </w:r>
      <w:r w:rsidR="00294323">
        <w:t xml:space="preserve">that began </w:t>
      </w:r>
      <w:r w:rsidR="006222AF">
        <w:t>in 198</w:t>
      </w:r>
      <w:r w:rsidR="00811197">
        <w:t>8</w:t>
      </w:r>
      <w:r w:rsidR="00A03974">
        <w:t xml:space="preserve">. </w:t>
      </w:r>
      <w:r w:rsidR="006222AF">
        <w:t xml:space="preserve"> Sullivan</w:t>
      </w:r>
      <w:r w:rsidR="007B66CF">
        <w:t xml:space="preserve"> </w:t>
      </w:r>
      <w:r w:rsidR="00504E48">
        <w:t xml:space="preserve">was first </w:t>
      </w:r>
      <w:r w:rsidR="000309D4">
        <w:t xml:space="preserve">disciplined </w:t>
      </w:r>
      <w:r w:rsidR="00294323">
        <w:t>in 1997</w:t>
      </w:r>
      <w:r w:rsidR="00B65ECC">
        <w:t xml:space="preserve">. </w:t>
      </w:r>
      <w:r w:rsidR="00F7572F">
        <w:t xml:space="preserve"> </w:t>
      </w:r>
      <w:r w:rsidR="009765E0">
        <w:t>While on probation</w:t>
      </w:r>
      <w:r w:rsidR="00E4447A">
        <w:t xml:space="preserve"> in that case</w:t>
      </w:r>
      <w:r w:rsidR="00294323">
        <w:t>,</w:t>
      </w:r>
      <w:r w:rsidR="009765E0">
        <w:t xml:space="preserve"> </w:t>
      </w:r>
      <w:r w:rsidR="005906E5">
        <w:t xml:space="preserve">and </w:t>
      </w:r>
      <w:r w:rsidR="009765E0">
        <w:t xml:space="preserve">with a second </w:t>
      </w:r>
      <w:r w:rsidR="00367231">
        <w:t>disciplinary matter</w:t>
      </w:r>
      <w:r w:rsidR="00B65ECC">
        <w:t xml:space="preserve"> </w:t>
      </w:r>
      <w:r w:rsidR="006B0D62">
        <w:t>pending</w:t>
      </w:r>
      <w:r w:rsidR="00504E48">
        <w:t xml:space="preserve">, Sullivan </w:t>
      </w:r>
      <w:r w:rsidR="009765E0">
        <w:t xml:space="preserve">pled no contest </w:t>
      </w:r>
      <w:r w:rsidR="0017257B">
        <w:t xml:space="preserve">in 1999 </w:t>
      </w:r>
      <w:r w:rsidR="009765E0">
        <w:t xml:space="preserve">to conspiracy </w:t>
      </w:r>
      <w:r w:rsidR="00504E48">
        <w:t>to obstruct justice</w:t>
      </w:r>
      <w:r w:rsidR="00294323">
        <w:t>,</w:t>
      </w:r>
      <w:r w:rsidR="00504E48">
        <w:t xml:space="preserve"> the </w:t>
      </w:r>
      <w:r w:rsidR="006222AF">
        <w:t xml:space="preserve">misdemeanor </w:t>
      </w:r>
      <w:r w:rsidR="00504E48">
        <w:t xml:space="preserve">conviction matter before us.  He did not report </w:t>
      </w:r>
      <w:r w:rsidR="000309D4">
        <w:t xml:space="preserve">the charges or </w:t>
      </w:r>
      <w:r w:rsidR="00504E48">
        <w:t>conviction to the State Bar.</w:t>
      </w:r>
      <w:r w:rsidR="00AB276C">
        <w:t xml:space="preserve">  </w:t>
      </w:r>
      <w:r w:rsidR="002F21E3">
        <w:t>I</w:t>
      </w:r>
      <w:r w:rsidR="00504E48">
        <w:t>n 2000, Sullivan</w:t>
      </w:r>
      <w:r w:rsidR="00A03974">
        <w:t xml:space="preserve"> received</w:t>
      </w:r>
      <w:r w:rsidR="009900D5">
        <w:t xml:space="preserve"> </w:t>
      </w:r>
      <w:r w:rsidR="009765E0">
        <w:t>his second discipline</w:t>
      </w:r>
      <w:r w:rsidR="00B65ECC">
        <w:t>.</w:t>
      </w:r>
      <w:r w:rsidR="009765E0">
        <w:t xml:space="preserve">  </w:t>
      </w:r>
      <w:r w:rsidR="00B65ECC">
        <w:t>Then i</w:t>
      </w:r>
      <w:r w:rsidR="002F21E3">
        <w:t>n 2002</w:t>
      </w:r>
      <w:r w:rsidR="001B4945">
        <w:t xml:space="preserve">, while on probation </w:t>
      </w:r>
      <w:r w:rsidR="00367231">
        <w:t xml:space="preserve">in that matter, </w:t>
      </w:r>
      <w:r w:rsidR="002F21E3">
        <w:t>he</w:t>
      </w:r>
      <w:r w:rsidR="009765E0">
        <w:t xml:space="preserve"> was disciplined </w:t>
      </w:r>
      <w:r w:rsidR="00B35CA3">
        <w:t>a</w:t>
      </w:r>
      <w:r w:rsidR="00BF30D7">
        <w:t xml:space="preserve"> third time</w:t>
      </w:r>
      <w:r w:rsidR="00B65ECC">
        <w:t>.</w:t>
      </w:r>
      <w:r w:rsidR="009765E0">
        <w:t xml:space="preserve"> </w:t>
      </w:r>
      <w:r w:rsidR="001B609E">
        <w:t xml:space="preserve"> Sullivan has been on interim suspension since </w:t>
      </w:r>
      <w:r w:rsidR="00E4447A">
        <w:t>J</w:t>
      </w:r>
      <w:r w:rsidR="001B609E">
        <w:t>uly 7, 2008</w:t>
      </w:r>
      <w:r w:rsidR="00F5020D">
        <w:t>, as a result of his conviction</w:t>
      </w:r>
      <w:r w:rsidR="001B609E">
        <w:t>.</w:t>
      </w:r>
      <w:r w:rsidR="00F5020D">
        <w:t xml:space="preserve">  (</w:t>
      </w:r>
      <w:r w:rsidR="007B4F94">
        <w:t>§</w:t>
      </w:r>
      <w:r w:rsidR="00F5020D">
        <w:t xml:space="preserve"> 6102, </w:t>
      </w:r>
      <w:proofErr w:type="spellStart"/>
      <w:r w:rsidR="00F5020D">
        <w:t>subd</w:t>
      </w:r>
      <w:proofErr w:type="spellEnd"/>
      <w:r w:rsidR="00F5020D">
        <w:t>. (a).)</w:t>
      </w:r>
    </w:p>
    <w:p w:rsidR="007B4F94" w:rsidRDefault="007B4F94">
      <w:pPr>
        <w:spacing w:after="200" w:line="276" w:lineRule="auto"/>
      </w:pPr>
      <w:r>
        <w:br w:type="page"/>
      </w:r>
    </w:p>
    <w:p w:rsidR="00B65FDA" w:rsidRPr="0017257B" w:rsidRDefault="004B0415" w:rsidP="004B0415">
      <w:pPr>
        <w:jc w:val="center"/>
      </w:pPr>
      <w:r>
        <w:rPr>
          <w:b/>
        </w:rPr>
        <w:lastRenderedPageBreak/>
        <w:t xml:space="preserve">III.  </w:t>
      </w:r>
      <w:r w:rsidR="009765E0" w:rsidRPr="004B0415">
        <w:rPr>
          <w:b/>
        </w:rPr>
        <w:t xml:space="preserve">SULLIVAN’S </w:t>
      </w:r>
      <w:r w:rsidR="001B609E" w:rsidRPr="004B0415">
        <w:rPr>
          <w:b/>
        </w:rPr>
        <w:t xml:space="preserve">CRIMINAL </w:t>
      </w:r>
      <w:r w:rsidR="009765E0" w:rsidRPr="004B0415">
        <w:rPr>
          <w:b/>
        </w:rPr>
        <w:t>CONVICTION</w:t>
      </w:r>
    </w:p>
    <w:p w:rsidR="000C1AAF" w:rsidRPr="000C1AAF" w:rsidRDefault="00073139" w:rsidP="00073139">
      <w:r>
        <w:rPr>
          <w:b/>
        </w:rPr>
        <w:t>A.</w:t>
      </w:r>
      <w:r>
        <w:rPr>
          <w:b/>
        </w:rPr>
        <w:tab/>
      </w:r>
      <w:r w:rsidRPr="00073139">
        <w:rPr>
          <w:b/>
        </w:rPr>
        <w:t xml:space="preserve">FACTS AND CIRCUMSTANCES SURROUNDING </w:t>
      </w:r>
      <w:r w:rsidR="00F634BC">
        <w:rPr>
          <w:b/>
        </w:rPr>
        <w:t xml:space="preserve">THE </w:t>
      </w:r>
      <w:r w:rsidRPr="00073139">
        <w:rPr>
          <w:b/>
        </w:rPr>
        <w:t>CONVICTION</w:t>
      </w:r>
    </w:p>
    <w:p w:rsidR="00854205" w:rsidRDefault="00854205" w:rsidP="001B609E">
      <w:pPr>
        <w:ind w:firstLine="720"/>
      </w:pPr>
      <w:r>
        <w:t>Upon independent review of the record (</w:t>
      </w:r>
      <w:r w:rsidR="00F5020D">
        <w:t>Cal. Rules of Court, rule 9.12)</w:t>
      </w:r>
      <w:r w:rsidR="006B0D62">
        <w:t>,</w:t>
      </w:r>
      <w:r>
        <w:t xml:space="preserve"> we find </w:t>
      </w:r>
      <w:r w:rsidR="006B0D62">
        <w:t xml:space="preserve">that </w:t>
      </w:r>
      <w:r>
        <w:t>the following facts were proved by clear and convincing evidence</w:t>
      </w:r>
      <w:r w:rsidR="000309D4">
        <w:t xml:space="preserve">.  </w:t>
      </w:r>
      <w:r>
        <w:t xml:space="preserve">    </w:t>
      </w:r>
    </w:p>
    <w:p w:rsidR="000C1AAF" w:rsidRDefault="00073139" w:rsidP="001B609E">
      <w:pPr>
        <w:ind w:firstLine="720"/>
      </w:pPr>
      <w:r>
        <w:t>I</w:t>
      </w:r>
      <w:r w:rsidR="000C1AAF">
        <w:t xml:space="preserve">n 1995, Sullivan </w:t>
      </w:r>
      <w:r>
        <w:t>entered into</w:t>
      </w:r>
      <w:r w:rsidR="000C1AAF">
        <w:t xml:space="preserve"> a business relationship with </w:t>
      </w:r>
      <w:proofErr w:type="spellStart"/>
      <w:r w:rsidR="000C1AAF">
        <w:t>Faina</w:t>
      </w:r>
      <w:proofErr w:type="spellEnd"/>
      <w:r w:rsidR="000C1AAF">
        <w:t xml:space="preserve"> Bash, </w:t>
      </w:r>
      <w:r w:rsidR="001237D2">
        <w:t xml:space="preserve">the </w:t>
      </w:r>
      <w:r w:rsidR="000C1AAF">
        <w:t>owne</w:t>
      </w:r>
      <w:r w:rsidR="001237D2">
        <w:t>r/</w:t>
      </w:r>
      <w:r w:rsidR="00CE0537">
        <w:t xml:space="preserve"> </w:t>
      </w:r>
      <w:r w:rsidR="000C1AAF">
        <w:t>operat</w:t>
      </w:r>
      <w:r w:rsidR="001237D2">
        <w:t>or of</w:t>
      </w:r>
      <w:r w:rsidR="000C1AAF">
        <w:t xml:space="preserve"> </w:t>
      </w:r>
      <w:proofErr w:type="spellStart"/>
      <w:r w:rsidR="000C1AAF">
        <w:t>MGB</w:t>
      </w:r>
      <w:proofErr w:type="spellEnd"/>
      <w:r w:rsidR="000C1AAF">
        <w:t xml:space="preserve"> Legal Service (</w:t>
      </w:r>
      <w:proofErr w:type="spellStart"/>
      <w:r w:rsidR="000C1AAF">
        <w:t>MGB</w:t>
      </w:r>
      <w:proofErr w:type="spellEnd"/>
      <w:r w:rsidR="000C1AAF">
        <w:t xml:space="preserve">).  Sullivan paid </w:t>
      </w:r>
      <w:proofErr w:type="spellStart"/>
      <w:r w:rsidR="000C1AAF">
        <w:t>MGB</w:t>
      </w:r>
      <w:proofErr w:type="spellEnd"/>
      <w:r w:rsidR="000C1AAF">
        <w:t xml:space="preserve"> $5,000 per month to market his practice to the Russian community in Los Angeles and </w:t>
      </w:r>
      <w:r>
        <w:t>to provide</w:t>
      </w:r>
      <w:r w:rsidR="00BF3621">
        <w:t xml:space="preserve"> </w:t>
      </w:r>
      <w:r>
        <w:t xml:space="preserve">him </w:t>
      </w:r>
      <w:r w:rsidR="000C1AAF">
        <w:t xml:space="preserve">with </w:t>
      </w:r>
      <w:r w:rsidR="00367231">
        <w:t xml:space="preserve">a </w:t>
      </w:r>
      <w:r w:rsidR="000C1AAF">
        <w:t>secretar</w:t>
      </w:r>
      <w:r w:rsidR="00367231">
        <w:t>y</w:t>
      </w:r>
      <w:r w:rsidR="000C1AAF">
        <w:t xml:space="preserve"> and </w:t>
      </w:r>
      <w:r w:rsidR="00367231">
        <w:t xml:space="preserve">a </w:t>
      </w:r>
      <w:r w:rsidR="000C1AAF">
        <w:t>translat</w:t>
      </w:r>
      <w:r w:rsidR="00367231">
        <w:t>or</w:t>
      </w:r>
      <w:r w:rsidR="000C1AAF">
        <w:t xml:space="preserve">.       </w:t>
      </w:r>
    </w:p>
    <w:p w:rsidR="000C1AAF" w:rsidRDefault="000C1AAF" w:rsidP="000C1AAF">
      <w:r>
        <w:tab/>
        <w:t xml:space="preserve">Sullivan represented Jose </w:t>
      </w:r>
      <w:proofErr w:type="spellStart"/>
      <w:r>
        <w:t>Hermasillo</w:t>
      </w:r>
      <w:proofErr w:type="spellEnd"/>
      <w:r>
        <w:t>, whose child was killed in a hit</w:t>
      </w:r>
      <w:r w:rsidR="001237D2">
        <w:t>-</w:t>
      </w:r>
      <w:r>
        <w:t>and</w:t>
      </w:r>
      <w:r w:rsidR="001237D2">
        <w:t>-</w:t>
      </w:r>
      <w:r>
        <w:t xml:space="preserve">run accident.  After the case settled, Sullivan issued a check </w:t>
      </w:r>
      <w:r w:rsidR="006B0D62">
        <w:t xml:space="preserve">for $10,000 to </w:t>
      </w:r>
      <w:proofErr w:type="spellStart"/>
      <w:r w:rsidR="006B0D62">
        <w:t>MGB</w:t>
      </w:r>
      <w:proofErr w:type="spellEnd"/>
      <w:r w:rsidR="006B0D62">
        <w:t xml:space="preserve"> </w:t>
      </w:r>
      <w:r>
        <w:t xml:space="preserve">from </w:t>
      </w:r>
      <w:r w:rsidR="004F6144">
        <w:t xml:space="preserve">the </w:t>
      </w:r>
      <w:proofErr w:type="spellStart"/>
      <w:r w:rsidR="004F6144">
        <w:t>Hermasillo</w:t>
      </w:r>
      <w:proofErr w:type="spellEnd"/>
      <w:r>
        <w:t xml:space="preserve"> client trust account</w:t>
      </w:r>
      <w:r w:rsidR="001237D2">
        <w:t xml:space="preserve"> (CTA)</w:t>
      </w:r>
      <w:r w:rsidR="008C21F5">
        <w:t xml:space="preserve">. </w:t>
      </w:r>
      <w:r w:rsidR="00B47F62">
        <w:t xml:space="preserve"> </w:t>
      </w:r>
      <w:r w:rsidR="001237D2">
        <w:t>He</w:t>
      </w:r>
      <w:r>
        <w:t xml:space="preserve"> testified that</w:t>
      </w:r>
      <w:r w:rsidR="008C21F5">
        <w:t xml:space="preserve"> he owed </w:t>
      </w:r>
      <w:proofErr w:type="spellStart"/>
      <w:r w:rsidR="008C21F5">
        <w:t>MGB</w:t>
      </w:r>
      <w:proofErr w:type="spellEnd"/>
      <w:r w:rsidR="008C21F5">
        <w:t xml:space="preserve"> that amount for two months of services, </w:t>
      </w:r>
      <w:r w:rsidR="00CE0537">
        <w:t>and</w:t>
      </w:r>
      <w:r w:rsidR="008C21F5">
        <w:t xml:space="preserve"> </w:t>
      </w:r>
      <w:r w:rsidR="004F6144">
        <w:t xml:space="preserve">denied </w:t>
      </w:r>
      <w:r w:rsidR="008C21F5">
        <w:t>that</w:t>
      </w:r>
      <w:r>
        <w:t xml:space="preserve"> </w:t>
      </w:r>
      <w:proofErr w:type="spellStart"/>
      <w:r w:rsidR="001237D2">
        <w:t>MGB</w:t>
      </w:r>
      <w:proofErr w:type="spellEnd"/>
      <w:r w:rsidR="001237D2">
        <w:t xml:space="preserve"> had referred </w:t>
      </w:r>
      <w:r>
        <w:t xml:space="preserve">the </w:t>
      </w:r>
      <w:proofErr w:type="spellStart"/>
      <w:r>
        <w:t>Hermasillo</w:t>
      </w:r>
      <w:proofErr w:type="spellEnd"/>
      <w:r>
        <w:t xml:space="preserve"> case to him.  </w:t>
      </w:r>
    </w:p>
    <w:p w:rsidR="000C1AAF" w:rsidRDefault="000C1AAF" w:rsidP="000C1AAF">
      <w:r>
        <w:tab/>
        <w:t xml:space="preserve">In August 1998, </w:t>
      </w:r>
      <w:r w:rsidR="001237D2">
        <w:t>t</w:t>
      </w:r>
      <w:r>
        <w:t xml:space="preserve">he Los Angeles District Attorney’s Office filed a criminal complaint </w:t>
      </w:r>
      <w:r w:rsidR="00821F6D">
        <w:t>against</w:t>
      </w:r>
      <w:r>
        <w:t xml:space="preserve"> Sullivan and Bash as co-defendants in a “capping” conspiracy</w:t>
      </w:r>
      <w:r w:rsidR="008C21F5">
        <w:t>, alleging that</w:t>
      </w:r>
      <w:r>
        <w:t xml:space="preserve"> Sullivan paid Bash for referring clients to him</w:t>
      </w:r>
      <w:r w:rsidR="00821F6D">
        <w:t xml:space="preserve">. </w:t>
      </w:r>
      <w:r>
        <w:t xml:space="preserve"> </w:t>
      </w:r>
      <w:r w:rsidR="008C21F5">
        <w:t>T</w:t>
      </w:r>
      <w:r>
        <w:t xml:space="preserve">he </w:t>
      </w:r>
      <w:r w:rsidR="002E16FE">
        <w:t xml:space="preserve">District Attorney </w:t>
      </w:r>
      <w:r w:rsidR="00F7572F">
        <w:t>claimed</w:t>
      </w:r>
      <w:r w:rsidR="002E16FE">
        <w:t xml:space="preserve"> that the </w:t>
      </w:r>
      <w:r>
        <w:t xml:space="preserve">$10,000 payment from the </w:t>
      </w:r>
      <w:proofErr w:type="spellStart"/>
      <w:r>
        <w:t>Hermasillo</w:t>
      </w:r>
      <w:proofErr w:type="spellEnd"/>
      <w:r>
        <w:t xml:space="preserve"> settlement was the </w:t>
      </w:r>
      <w:r w:rsidR="004F6144">
        <w:t xml:space="preserve">overt act </w:t>
      </w:r>
      <w:r w:rsidR="00294323">
        <w:t>needed</w:t>
      </w:r>
      <w:r w:rsidR="004F6144">
        <w:t xml:space="preserve"> </w:t>
      </w:r>
      <w:r>
        <w:t xml:space="preserve">for the conspiracy charge.  </w:t>
      </w:r>
    </w:p>
    <w:p w:rsidR="000C1AAF" w:rsidRDefault="000C1AAF" w:rsidP="000C1AAF">
      <w:r>
        <w:tab/>
        <w:t xml:space="preserve">Sullivan and Bash were </w:t>
      </w:r>
      <w:r w:rsidR="004F6144">
        <w:t xml:space="preserve">each </w:t>
      </w:r>
      <w:r>
        <w:t xml:space="preserve">charged with three felony counts:  (1) conspiracy to </w:t>
      </w:r>
      <w:r w:rsidR="00CE0537">
        <w:t xml:space="preserve"> </w:t>
      </w:r>
      <w:r>
        <w:t xml:space="preserve">commit a crime (Pen. Code </w:t>
      </w:r>
      <w:r w:rsidR="00014498">
        <w:t>§</w:t>
      </w:r>
      <w:r>
        <w:t xml:space="preserve"> 182, </w:t>
      </w:r>
      <w:proofErr w:type="spellStart"/>
      <w:r>
        <w:t>subd</w:t>
      </w:r>
      <w:proofErr w:type="spellEnd"/>
      <w:r>
        <w:t>. (a)(1))</w:t>
      </w:r>
      <w:r w:rsidR="002E16FE">
        <w:t>;</w:t>
      </w:r>
      <w:r>
        <w:t xml:space="preserve"> (2) capping (Ins. Code </w:t>
      </w:r>
      <w:r w:rsidR="00014498">
        <w:t>§</w:t>
      </w:r>
      <w:r>
        <w:t xml:space="preserve"> 750, </w:t>
      </w:r>
      <w:proofErr w:type="spellStart"/>
      <w:r>
        <w:t>subd</w:t>
      </w:r>
      <w:proofErr w:type="spellEnd"/>
      <w:r>
        <w:t>. (a))</w:t>
      </w:r>
      <w:r w:rsidR="002E16FE">
        <w:t>;</w:t>
      </w:r>
      <w:r>
        <w:t xml:space="preserve"> and </w:t>
      </w:r>
      <w:r w:rsidR="00CE0537">
        <w:t xml:space="preserve">  </w:t>
      </w:r>
      <w:r>
        <w:t xml:space="preserve">(3) conspiracy to commit an act injurious to the public or </w:t>
      </w:r>
      <w:r w:rsidR="00CE0537">
        <w:t xml:space="preserve">to </w:t>
      </w:r>
      <w:r>
        <w:t>obstruct justice</w:t>
      </w:r>
      <w:r w:rsidR="00B574E6">
        <w:t xml:space="preserve">. </w:t>
      </w:r>
      <w:r>
        <w:t xml:space="preserve"> (Pen. Code</w:t>
      </w:r>
      <w:r w:rsidR="00014498">
        <w:t xml:space="preserve"> §</w:t>
      </w:r>
      <w:r>
        <w:t xml:space="preserve"> </w:t>
      </w:r>
      <w:r w:rsidR="00F7572F">
        <w:t>1</w:t>
      </w:r>
      <w:r>
        <w:t xml:space="preserve">82, </w:t>
      </w:r>
      <w:proofErr w:type="spellStart"/>
      <w:r>
        <w:t>subd</w:t>
      </w:r>
      <w:proofErr w:type="spellEnd"/>
      <w:r>
        <w:t xml:space="preserve">. (a)(5).)  </w:t>
      </w:r>
      <w:r w:rsidR="00014498">
        <w:t>On</w:t>
      </w:r>
      <w:r w:rsidR="00286C7F">
        <w:t xml:space="preserve"> A</w:t>
      </w:r>
      <w:r>
        <w:t>pril 12, 1999</w:t>
      </w:r>
      <w:r w:rsidR="00014498">
        <w:t>,</w:t>
      </w:r>
      <w:r w:rsidR="00286C7F">
        <w:t xml:space="preserve"> </w:t>
      </w:r>
      <w:r>
        <w:t>Sullivan pled n</w:t>
      </w:r>
      <w:r w:rsidR="006A1A27">
        <w:t>o</w:t>
      </w:r>
      <w:r w:rsidR="00BF30D7">
        <w:t xml:space="preserve"> contest</w:t>
      </w:r>
      <w:r>
        <w:t xml:space="preserve"> to count three as a misdemeanor </w:t>
      </w:r>
      <w:r w:rsidR="00286C7F">
        <w:t xml:space="preserve">and </w:t>
      </w:r>
      <w:r>
        <w:t>Bash pled no contest to count two</w:t>
      </w:r>
      <w:r w:rsidR="000102A1">
        <w:t xml:space="preserve"> as a misdemeanor</w:t>
      </w:r>
      <w:r w:rsidR="006A1A27">
        <w:t>.</w:t>
      </w:r>
      <w:r w:rsidR="006A1A27">
        <w:rPr>
          <w:rStyle w:val="FootnoteReference"/>
        </w:rPr>
        <w:footnoteReference w:id="5"/>
      </w:r>
      <w:r w:rsidR="00286C7F">
        <w:t xml:space="preserve">  </w:t>
      </w:r>
      <w:r w:rsidR="004F6144">
        <w:t xml:space="preserve">Sullivan </w:t>
      </w:r>
      <w:r w:rsidR="002E16FE">
        <w:t xml:space="preserve">claims that he </w:t>
      </w:r>
      <w:r w:rsidR="00294323">
        <w:t>entered</w:t>
      </w:r>
      <w:r w:rsidR="00FA0F47">
        <w:t xml:space="preserve"> his plea </w:t>
      </w:r>
      <w:r w:rsidR="004F6144">
        <w:t xml:space="preserve">only to save money, not because he believed his dealings with Bash </w:t>
      </w:r>
      <w:r w:rsidR="00321BF4">
        <w:t>w</w:t>
      </w:r>
      <w:r w:rsidR="004F6144">
        <w:t xml:space="preserve">ere illegal.  </w:t>
      </w:r>
      <w:r w:rsidR="002E16FE">
        <w:t xml:space="preserve">But the </w:t>
      </w:r>
      <w:r w:rsidR="002E16FE">
        <w:lastRenderedPageBreak/>
        <w:t xml:space="preserve">superior court judge </w:t>
      </w:r>
      <w:r w:rsidR="00EE1F1F">
        <w:t xml:space="preserve">plainly </w:t>
      </w:r>
      <w:r w:rsidR="00ED7171">
        <w:t>told</w:t>
      </w:r>
      <w:r w:rsidR="004F6144">
        <w:t xml:space="preserve"> </w:t>
      </w:r>
      <w:r w:rsidR="002E16FE">
        <w:t xml:space="preserve">Sullivan and Bash </w:t>
      </w:r>
      <w:r w:rsidR="004F6144">
        <w:t xml:space="preserve">that their pleas related to </w:t>
      </w:r>
      <w:r w:rsidR="00FA0F47">
        <w:t xml:space="preserve">the fee </w:t>
      </w:r>
      <w:r w:rsidR="00294323">
        <w:t xml:space="preserve">that </w:t>
      </w:r>
      <w:r w:rsidR="00FA0F47">
        <w:t xml:space="preserve">Sullivan paid Bash for </w:t>
      </w:r>
      <w:r w:rsidR="00294323">
        <w:t>referring</w:t>
      </w:r>
      <w:r w:rsidR="00FA0F47">
        <w:t xml:space="preserve"> the </w:t>
      </w:r>
      <w:proofErr w:type="spellStart"/>
      <w:r w:rsidR="00B47F62">
        <w:t>Herma</w:t>
      </w:r>
      <w:r w:rsidR="00286C7F">
        <w:t>sillo</w:t>
      </w:r>
      <w:proofErr w:type="spellEnd"/>
      <w:r w:rsidR="00286C7F">
        <w:t xml:space="preserve"> </w:t>
      </w:r>
      <w:r w:rsidR="004F6144">
        <w:t>matter</w:t>
      </w:r>
      <w:r>
        <w:t>.</w:t>
      </w:r>
      <w:r w:rsidR="006A1A27">
        <w:t xml:space="preserve">  </w:t>
      </w:r>
    </w:p>
    <w:p w:rsidR="00731AAC" w:rsidRDefault="001B609E">
      <w:pPr>
        <w:ind w:firstLine="720"/>
      </w:pPr>
      <w:r>
        <w:t xml:space="preserve">Sullivan </w:t>
      </w:r>
      <w:r w:rsidR="00FA0F47">
        <w:t>contends</w:t>
      </w:r>
      <w:r w:rsidR="002E16FE">
        <w:t xml:space="preserve"> that </w:t>
      </w:r>
      <w:r w:rsidR="003F276D">
        <w:t xml:space="preserve">he was </w:t>
      </w:r>
      <w:r w:rsidR="002E16FE">
        <w:t xml:space="preserve">not </w:t>
      </w:r>
      <w:r w:rsidR="00F83B66">
        <w:t xml:space="preserve">required to </w:t>
      </w:r>
      <w:r>
        <w:t>report</w:t>
      </w:r>
      <w:r w:rsidR="006A1A27">
        <w:t xml:space="preserve"> </w:t>
      </w:r>
      <w:r w:rsidR="00CE0537">
        <w:t xml:space="preserve">either </w:t>
      </w:r>
      <w:r w:rsidR="00ED7171">
        <w:t xml:space="preserve">the felony charges or the misdemeanor conviction </w:t>
      </w:r>
      <w:r w:rsidR="006A1A27">
        <w:t>to the State Bar</w:t>
      </w:r>
      <w:r w:rsidR="00294323">
        <w:t>.</w:t>
      </w:r>
      <w:r w:rsidR="00F7572F">
        <w:t xml:space="preserve"> </w:t>
      </w:r>
      <w:r w:rsidR="006A1A27">
        <w:t xml:space="preserve"> </w:t>
      </w:r>
      <w:r w:rsidR="006152EF">
        <w:t>He</w:t>
      </w:r>
      <w:r>
        <w:t xml:space="preserve"> </w:t>
      </w:r>
      <w:r w:rsidR="002E16FE">
        <w:t>testified:</w:t>
      </w:r>
      <w:r>
        <w:t xml:space="preserve"> “I didn’t think I had to.  It was a misdemeanor and a </w:t>
      </w:r>
      <w:proofErr w:type="spellStart"/>
      <w:r>
        <w:t>nolo</w:t>
      </w:r>
      <w:proofErr w:type="spellEnd"/>
      <w:r w:rsidR="00307F7A">
        <w:t xml:space="preserve"> </w:t>
      </w:r>
      <w:proofErr w:type="spellStart"/>
      <w:r w:rsidR="00307F7A">
        <w:t>contendere</w:t>
      </w:r>
      <w:proofErr w:type="spellEnd"/>
      <w:r w:rsidR="00307F7A">
        <w:t xml:space="preserve"> </w:t>
      </w:r>
      <w:r>
        <w:t>plea and I didn</w:t>
      </w:r>
      <w:r w:rsidR="00EE1F1F">
        <w:t>’t think I did anything wrong</w:t>
      </w:r>
      <w:r w:rsidR="00A13D11">
        <w:t xml:space="preserve"> . . . </w:t>
      </w:r>
      <w:r w:rsidR="00723532">
        <w:t>[The District Attorney]</w:t>
      </w:r>
      <w:r>
        <w:t xml:space="preserve"> said just plead </w:t>
      </w:r>
      <w:r w:rsidR="00723532">
        <w:t xml:space="preserve">to </w:t>
      </w:r>
      <w:r>
        <w:t>the general conspiracy type thing which obstruction of justice really doesn’t mean anything.”  Sullivan</w:t>
      </w:r>
      <w:r w:rsidR="00F7572F">
        <w:t xml:space="preserve"> claims </w:t>
      </w:r>
      <w:r>
        <w:t xml:space="preserve">that he </w:t>
      </w:r>
      <w:r w:rsidR="002E16FE">
        <w:t xml:space="preserve">did not </w:t>
      </w:r>
      <w:r w:rsidR="00B574E6">
        <w:t>consider</w:t>
      </w:r>
      <w:r w:rsidR="002E16FE">
        <w:t xml:space="preserve"> his misdemeanor conviction as a criminal record and </w:t>
      </w:r>
      <w:r w:rsidR="00FA0F47">
        <w:t xml:space="preserve">merely </w:t>
      </w:r>
      <w:r w:rsidR="00F83B66">
        <w:t xml:space="preserve">followed his </w:t>
      </w:r>
      <w:r w:rsidR="00723532">
        <w:t xml:space="preserve">attorney’s advice </w:t>
      </w:r>
      <w:r w:rsidR="002E16FE">
        <w:t xml:space="preserve">to report only </w:t>
      </w:r>
      <w:r w:rsidR="00723532">
        <w:t>felony convictions</w:t>
      </w:r>
      <w:r w:rsidR="00A15064">
        <w:t xml:space="preserve"> </w:t>
      </w:r>
      <w:r w:rsidR="000C1AAF">
        <w:t>to the State Bar</w:t>
      </w:r>
      <w:r w:rsidR="003F276D">
        <w:t xml:space="preserve">. </w:t>
      </w:r>
      <w:r w:rsidR="000C1AAF">
        <w:t xml:space="preserve"> </w:t>
      </w:r>
    </w:p>
    <w:p w:rsidR="0017257B" w:rsidRPr="000067DE" w:rsidRDefault="000067DE" w:rsidP="000067DE">
      <w:r>
        <w:rPr>
          <w:b/>
        </w:rPr>
        <w:t>B.</w:t>
      </w:r>
      <w:r>
        <w:rPr>
          <w:b/>
        </w:rPr>
        <w:tab/>
      </w:r>
      <w:r w:rsidR="00F634BC">
        <w:rPr>
          <w:b/>
        </w:rPr>
        <w:t xml:space="preserve">THE </w:t>
      </w:r>
      <w:r w:rsidRPr="000067DE">
        <w:rPr>
          <w:b/>
        </w:rPr>
        <w:t>CONVICTION INVOLVED MORAL TURPITUDE PER SE</w:t>
      </w:r>
    </w:p>
    <w:p w:rsidR="0017257B" w:rsidRDefault="00C622E1" w:rsidP="0017257B">
      <w:pPr>
        <w:ind w:firstLine="720"/>
      </w:pPr>
      <w:r>
        <w:t xml:space="preserve">Sullivan was convicted of violating Penal </w:t>
      </w:r>
      <w:r w:rsidR="0017257B">
        <w:t>Code sec</w:t>
      </w:r>
      <w:r>
        <w:t>tion 182, subdivision (a)(5), a</w:t>
      </w:r>
      <w:r w:rsidR="0017257B">
        <w:t xml:space="preserve"> conspiracy “[t]</w:t>
      </w:r>
      <w:r w:rsidR="0017257B" w:rsidRPr="0052060F">
        <w:t>o commit any act injurious to the public health, to public morals, or to pervert or obstruct justice, or the due administration of the laws.</w:t>
      </w:r>
      <w:r w:rsidR="0017257B">
        <w:t xml:space="preserve">”  </w:t>
      </w:r>
      <w:r w:rsidR="001F1C79">
        <w:t>C</w:t>
      </w:r>
      <w:r w:rsidR="0017257B">
        <w:t xml:space="preserve">onspiracy to obstruct justice </w:t>
      </w:r>
      <w:r>
        <w:t xml:space="preserve">is </w:t>
      </w:r>
      <w:r w:rsidR="0017257B">
        <w:t>a serious crime involv</w:t>
      </w:r>
      <w:r w:rsidR="001F1C79">
        <w:t>ing</w:t>
      </w:r>
      <w:r w:rsidR="0017257B">
        <w:t xml:space="preserve"> moral turpitude per se.  (</w:t>
      </w:r>
      <w:r w:rsidR="0017257B" w:rsidRPr="00154492">
        <w:rPr>
          <w:i/>
        </w:rPr>
        <w:t>In re Craig</w:t>
      </w:r>
      <w:r w:rsidR="0017257B">
        <w:t xml:space="preserve"> (1938) 12 </w:t>
      </w:r>
      <w:proofErr w:type="spellStart"/>
      <w:r w:rsidR="0017257B">
        <w:t>Cal.2d</w:t>
      </w:r>
      <w:proofErr w:type="spellEnd"/>
      <w:r w:rsidR="0017257B">
        <w:t xml:space="preserve"> 93, 97 [</w:t>
      </w:r>
      <w:r w:rsidR="00F5020D">
        <w:t>“</w:t>
      </w:r>
      <w:r w:rsidR="0017257B" w:rsidRPr="004E5D64">
        <w:t>no doubt that the offense of conspiring to corruptly influence, obstruct, impede, hinder and embarrass the due administration of justice</w:t>
      </w:r>
      <w:r w:rsidR="0017257B">
        <w:t xml:space="preserve"> . . .</w:t>
      </w:r>
      <w:r w:rsidR="0017257B" w:rsidRPr="004E5D64">
        <w:t xml:space="preserve"> falls easily within the </w:t>
      </w:r>
      <w:r w:rsidR="0017257B">
        <w:t xml:space="preserve">definition of </w:t>
      </w:r>
      <w:r w:rsidR="00F5020D">
        <w:t>‘</w:t>
      </w:r>
      <w:r w:rsidR="0017257B">
        <w:t>moral turpitude</w:t>
      </w:r>
      <w:r w:rsidR="007B4F94">
        <w:t>.</w:t>
      </w:r>
      <w:r w:rsidR="00F5020D">
        <w:t>’</w:t>
      </w:r>
      <w:r w:rsidR="007B4F94">
        <w:t xml:space="preserve"> </w:t>
      </w:r>
      <w:r w:rsidR="00F5020D">
        <w:t>”].)</w:t>
      </w:r>
      <w:r w:rsidR="00542A78">
        <w:t xml:space="preserve">  </w:t>
      </w:r>
      <w:r w:rsidR="00F7572F">
        <w:t xml:space="preserve">Sullivan’s </w:t>
      </w:r>
      <w:r>
        <w:t xml:space="preserve">conviction is conclusive evidence of </w:t>
      </w:r>
      <w:r w:rsidR="00F7572F">
        <w:t>his</w:t>
      </w:r>
      <w:r>
        <w:t xml:space="preserve"> guilt.</w:t>
      </w:r>
      <w:r w:rsidR="0017257B">
        <w:t xml:space="preserve"> </w:t>
      </w:r>
      <w:r w:rsidR="00B47F62">
        <w:t xml:space="preserve"> </w:t>
      </w:r>
      <w:r w:rsidR="0017257B">
        <w:t>(</w:t>
      </w:r>
      <w:r w:rsidR="0017257B">
        <w:rPr>
          <w:i/>
        </w:rPr>
        <w:t xml:space="preserve">In re </w:t>
      </w:r>
      <w:proofErr w:type="spellStart"/>
      <w:r w:rsidR="0017257B">
        <w:rPr>
          <w:i/>
        </w:rPr>
        <w:t>Utz</w:t>
      </w:r>
      <w:proofErr w:type="spellEnd"/>
      <w:r w:rsidR="0017257B">
        <w:t xml:space="preserve"> (1989) 48 </w:t>
      </w:r>
      <w:proofErr w:type="spellStart"/>
      <w:r w:rsidR="0017257B">
        <w:t>Cal.3d</w:t>
      </w:r>
      <w:proofErr w:type="spellEnd"/>
      <w:r w:rsidR="0017257B">
        <w:t xml:space="preserve"> 468, 480 [record of conviction is conclusive evidence of guilt that attorney cannot collaterally attack in discipline proceedings].)</w:t>
      </w:r>
      <w:r w:rsidR="000102A1">
        <w:t xml:space="preserve">  </w:t>
      </w:r>
      <w:r w:rsidR="00B574E6">
        <w:t>He</w:t>
      </w:r>
      <w:r w:rsidR="000102A1">
        <w:t xml:space="preserve"> was sentenced to 36 months</w:t>
      </w:r>
      <w:r w:rsidR="00B47F62">
        <w:t>’</w:t>
      </w:r>
      <w:r w:rsidR="000102A1">
        <w:t xml:space="preserve"> probation, one day in jail, $100 restitution and a $4,0</w:t>
      </w:r>
      <w:r w:rsidR="006523EA">
        <w:t>00 fine and penalty assessment.</w:t>
      </w:r>
      <w:r w:rsidR="00321BF4">
        <w:t xml:space="preserve">  </w:t>
      </w:r>
      <w:r w:rsidR="00B574E6">
        <w:t>Other than failing to report the charges and conviction to the State Bar, Sullivan</w:t>
      </w:r>
      <w:r>
        <w:t xml:space="preserve"> successfully completed his criminal probation</w:t>
      </w:r>
      <w:r w:rsidR="00B574E6">
        <w:t>.</w:t>
      </w:r>
      <w:r w:rsidR="00321BF4">
        <w:t xml:space="preserve"> </w:t>
      </w:r>
    </w:p>
    <w:p w:rsidR="00F5020D" w:rsidRDefault="00F5020D" w:rsidP="0017257B">
      <w:pPr>
        <w:ind w:firstLine="720"/>
      </w:pPr>
    </w:p>
    <w:p w:rsidR="00F5020D" w:rsidRDefault="00F5020D" w:rsidP="0017257B">
      <w:pPr>
        <w:ind w:firstLine="720"/>
      </w:pPr>
    </w:p>
    <w:p w:rsidR="00F5020D" w:rsidRDefault="00F5020D" w:rsidP="0017257B">
      <w:pPr>
        <w:ind w:firstLine="720"/>
      </w:pPr>
    </w:p>
    <w:p w:rsidR="006A1A27" w:rsidRPr="006A1E92" w:rsidRDefault="006A1A27" w:rsidP="004E2B73">
      <w:pPr>
        <w:pStyle w:val="ListParagraph"/>
        <w:ind w:left="0"/>
        <w:jc w:val="center"/>
      </w:pPr>
      <w:r>
        <w:rPr>
          <w:b/>
        </w:rPr>
        <w:lastRenderedPageBreak/>
        <w:t xml:space="preserve">IV.  </w:t>
      </w:r>
      <w:r w:rsidRPr="006A1E92">
        <w:rPr>
          <w:b/>
          <w:bCs/>
        </w:rPr>
        <w:t>AGGRAVATION AND MITIGATION</w:t>
      </w:r>
    </w:p>
    <w:p w:rsidR="006A1A27" w:rsidRDefault="006A1A27" w:rsidP="006A1A27">
      <w:pPr>
        <w:pStyle w:val="Default"/>
        <w:spacing w:line="480" w:lineRule="auto"/>
      </w:pPr>
      <w:r>
        <w:tab/>
      </w:r>
      <w:r w:rsidRPr="006A1E92">
        <w:t xml:space="preserve">The offering party bears the burden of </w:t>
      </w:r>
      <w:r w:rsidR="00FA0F47">
        <w:t>proving</w:t>
      </w:r>
      <w:r w:rsidRPr="006A1E92">
        <w:t xml:space="preserve"> aggravating and mitigating circumstances. </w:t>
      </w:r>
      <w:r>
        <w:t xml:space="preserve"> </w:t>
      </w:r>
      <w:r w:rsidR="001E5658">
        <w:t xml:space="preserve">Sullivan </w:t>
      </w:r>
      <w:r w:rsidRPr="006A1E92">
        <w:t xml:space="preserve">must establish </w:t>
      </w:r>
      <w:r w:rsidR="00FA0F47">
        <w:t>mitigation</w:t>
      </w:r>
      <w:r w:rsidRPr="006A1E92">
        <w:t xml:space="preserve"> by clear and convincing evidence (std. 1.2(e)), </w:t>
      </w:r>
      <w:r w:rsidR="00C622E1">
        <w:t xml:space="preserve">and </w:t>
      </w:r>
      <w:r w:rsidRPr="006A1E92">
        <w:t xml:space="preserve">the State Bar </w:t>
      </w:r>
      <w:r w:rsidR="00FA0F47">
        <w:t>must prove aggravation by the same standard</w:t>
      </w:r>
      <w:r w:rsidRPr="006A1E92">
        <w:t>. (Std. 1.2(b).)</w:t>
      </w:r>
    </w:p>
    <w:p w:rsidR="000438E5" w:rsidRPr="006A1E92" w:rsidRDefault="000B2A20" w:rsidP="000B2A20">
      <w:r>
        <w:rPr>
          <w:b/>
        </w:rPr>
        <w:t>A.</w:t>
      </w:r>
      <w:r>
        <w:rPr>
          <w:b/>
        </w:rPr>
        <w:tab/>
      </w:r>
      <w:r w:rsidR="000309D4">
        <w:rPr>
          <w:b/>
        </w:rPr>
        <w:t xml:space="preserve">ONE FACTOR IN </w:t>
      </w:r>
      <w:r w:rsidRPr="000B2A20">
        <w:rPr>
          <w:b/>
        </w:rPr>
        <w:t xml:space="preserve">MITIGATION </w:t>
      </w:r>
    </w:p>
    <w:p w:rsidR="00832035" w:rsidRDefault="00294323" w:rsidP="00B574E6">
      <w:pPr>
        <w:ind w:firstLine="720"/>
      </w:pPr>
      <w:r>
        <w:t xml:space="preserve">We agree with the hearing judge that </w:t>
      </w:r>
      <w:r w:rsidR="00C622E1">
        <w:t xml:space="preserve">Sullivan proved </w:t>
      </w:r>
      <w:r w:rsidR="000438E5">
        <w:t>one factor in mitigation</w:t>
      </w:r>
      <w:r>
        <w:t xml:space="preserve"> for performing </w:t>
      </w:r>
      <w:r w:rsidR="00CB3B71">
        <w:t>pro bono work</w:t>
      </w:r>
      <w:r w:rsidR="000438E5">
        <w:t xml:space="preserve">.  </w:t>
      </w:r>
      <w:r w:rsidR="003B072E">
        <w:t>F</w:t>
      </w:r>
      <w:r w:rsidR="00127337">
        <w:t xml:space="preserve">or </w:t>
      </w:r>
      <w:r w:rsidR="009A254A">
        <w:t xml:space="preserve">a few hours a week during much </w:t>
      </w:r>
      <w:r w:rsidR="00127337">
        <w:t>of his career</w:t>
      </w:r>
      <w:r w:rsidR="00A13D11">
        <w:t>,</w:t>
      </w:r>
      <w:r w:rsidR="003B072E">
        <w:t xml:space="preserve"> he advised and represented </w:t>
      </w:r>
      <w:r w:rsidR="009A254A">
        <w:t>clients who</w:t>
      </w:r>
      <w:r w:rsidR="00FA0F47">
        <w:t xml:space="preserve"> could not</w:t>
      </w:r>
      <w:r w:rsidR="009A254A">
        <w:t xml:space="preserve"> afford legal services in </w:t>
      </w:r>
      <w:r w:rsidR="00CB3B71">
        <w:t>immigration, business and small claims cases</w:t>
      </w:r>
      <w:r w:rsidR="00542A78">
        <w:t xml:space="preserve">.  </w:t>
      </w:r>
      <w:r w:rsidR="00CB3B71">
        <w:t xml:space="preserve">However, </w:t>
      </w:r>
      <w:r w:rsidR="000B2A20">
        <w:t>Sullivan offered only his own testimony to establish these efforts.  (</w:t>
      </w:r>
      <w:r w:rsidR="000B2A20" w:rsidRPr="00896DB7">
        <w:rPr>
          <w:i/>
        </w:rPr>
        <w:t>Calvert v. State Bar</w:t>
      </w:r>
      <w:r w:rsidR="000B2A20">
        <w:t xml:space="preserve"> (1991) 54 </w:t>
      </w:r>
      <w:proofErr w:type="spellStart"/>
      <w:r w:rsidR="000B2A20">
        <w:t>Cal.3d</w:t>
      </w:r>
      <w:proofErr w:type="spellEnd"/>
      <w:r w:rsidR="000B2A20">
        <w:t xml:space="preserve"> 765, 785 [pro bono and community service as mitigating factor].)  </w:t>
      </w:r>
      <w:r w:rsidR="00CB3B71">
        <w:t>W</w:t>
      </w:r>
      <w:r w:rsidR="000438E5">
        <w:t>e</w:t>
      </w:r>
      <w:r w:rsidR="00832035">
        <w:t xml:space="preserve"> </w:t>
      </w:r>
      <w:r w:rsidR="00CB3B71">
        <w:t xml:space="preserve">therefore </w:t>
      </w:r>
      <w:r w:rsidR="00832035">
        <w:t xml:space="preserve">assign </w:t>
      </w:r>
      <w:r w:rsidR="00CB3B71">
        <w:t xml:space="preserve">only </w:t>
      </w:r>
      <w:r w:rsidR="00832035">
        <w:t>modest weight to this mitigation</w:t>
      </w:r>
      <w:r w:rsidR="00FA0F47">
        <w:t xml:space="preserve"> evidence</w:t>
      </w:r>
      <w:r w:rsidR="00832035">
        <w:t>.</w:t>
      </w:r>
      <w:r w:rsidR="00232F52">
        <w:t xml:space="preserve">  (</w:t>
      </w:r>
      <w:r w:rsidR="004E0317">
        <w:rPr>
          <w:i/>
        </w:rPr>
        <w:t xml:space="preserve">In the Matter of </w:t>
      </w:r>
      <w:proofErr w:type="spellStart"/>
      <w:r w:rsidR="004E0317">
        <w:rPr>
          <w:i/>
        </w:rPr>
        <w:t>Shalant</w:t>
      </w:r>
      <w:proofErr w:type="spellEnd"/>
      <w:r w:rsidR="004E0317">
        <w:t xml:space="preserve"> (Review Dept. 2005) 4 Cal. State Bar Ct. </w:t>
      </w:r>
      <w:proofErr w:type="spellStart"/>
      <w:r w:rsidR="004E0317">
        <w:t>Rptr</w:t>
      </w:r>
      <w:proofErr w:type="spellEnd"/>
      <w:r w:rsidR="004E0317">
        <w:t xml:space="preserve">. 829, </w:t>
      </w:r>
      <w:r w:rsidR="00773CD7">
        <w:t xml:space="preserve">840 [limited </w:t>
      </w:r>
      <w:r w:rsidR="00232F52">
        <w:t xml:space="preserve">mitigation </w:t>
      </w:r>
      <w:r w:rsidR="00720BDD">
        <w:t>weight f</w:t>
      </w:r>
      <w:r w:rsidR="00773CD7">
        <w:t>o</w:t>
      </w:r>
      <w:r w:rsidR="00720BDD">
        <w:t>r</w:t>
      </w:r>
      <w:r w:rsidR="00773CD7">
        <w:t xml:space="preserve"> community service established only by respondent’s testimony]</w:t>
      </w:r>
      <w:r w:rsidR="004E0317">
        <w:t>.)</w:t>
      </w:r>
      <w:r w:rsidR="00832035">
        <w:t xml:space="preserve">  </w:t>
      </w:r>
      <w:r w:rsidR="00F5020D">
        <w:t xml:space="preserve">We reject Sullivan’s request for mitigation credit for severing ties with Bash after the criminal charges were filed and for downsizing his office and caseload before his first discipline.  He is not entitled to mitigation merely for lawfully operating </w:t>
      </w:r>
      <w:r w:rsidR="0018217C">
        <w:t>h</w:t>
      </w:r>
      <w:r w:rsidR="00F5020D">
        <w:t>is practice, and he already received credit in prior disciplinary actions for improving his office management</w:t>
      </w:r>
      <w:r w:rsidR="002B7C37">
        <w:t>.</w:t>
      </w:r>
      <w:r w:rsidR="00832035">
        <w:t xml:space="preserve">  </w:t>
      </w:r>
    </w:p>
    <w:p w:rsidR="00907F1D" w:rsidRDefault="00907F1D" w:rsidP="00B574E6">
      <w:pPr>
        <w:ind w:left="720" w:hanging="720"/>
        <w:rPr>
          <w:b/>
        </w:rPr>
      </w:pPr>
      <w:r>
        <w:rPr>
          <w:b/>
        </w:rPr>
        <w:t>B.</w:t>
      </w:r>
      <w:r>
        <w:rPr>
          <w:b/>
        </w:rPr>
        <w:tab/>
      </w:r>
      <w:r w:rsidR="000309D4">
        <w:rPr>
          <w:b/>
        </w:rPr>
        <w:t>THREE FACTORS IN AGGRAVATION</w:t>
      </w:r>
    </w:p>
    <w:p w:rsidR="00542A78" w:rsidRDefault="00CB3B71" w:rsidP="00B574E6">
      <w:pPr>
        <w:ind w:firstLine="720"/>
      </w:pPr>
      <w:r>
        <w:t xml:space="preserve">The hearing judge found </w:t>
      </w:r>
      <w:r w:rsidR="00B17044">
        <w:t>two factors in aggravation – Sullivan</w:t>
      </w:r>
      <w:r w:rsidR="00472040">
        <w:t>’s</w:t>
      </w:r>
      <w:r w:rsidR="00B17044">
        <w:t xml:space="preserve"> record of prior discipline (</w:t>
      </w:r>
      <w:r w:rsidR="00907F1D">
        <w:t>s</w:t>
      </w:r>
      <w:r w:rsidR="00195F08">
        <w:t>td. 1.2(b)(1)</w:t>
      </w:r>
      <w:r w:rsidR="00B17044">
        <w:t xml:space="preserve">) and </w:t>
      </w:r>
      <w:r w:rsidR="00472040">
        <w:t>uncharged misconduct for</w:t>
      </w:r>
      <w:r w:rsidR="00FA0F47">
        <w:t xml:space="preserve"> failing</w:t>
      </w:r>
      <w:r w:rsidR="00B17044">
        <w:t xml:space="preserve"> to report </w:t>
      </w:r>
      <w:r w:rsidR="00FA0F47">
        <w:t xml:space="preserve">the </w:t>
      </w:r>
      <w:r w:rsidR="00EE1F1F">
        <w:t>criminal charges and conviction</w:t>
      </w:r>
      <w:r w:rsidR="00B17044">
        <w:t>.</w:t>
      </w:r>
      <w:r w:rsidR="00472040">
        <w:t xml:space="preserve"> </w:t>
      </w:r>
      <w:r w:rsidR="00B17044">
        <w:t xml:space="preserve"> (</w:t>
      </w:r>
      <w:r w:rsidR="00B17044" w:rsidRPr="008623E1">
        <w:t>Std.</w:t>
      </w:r>
      <w:r w:rsidR="00BF3621">
        <w:t xml:space="preserve"> </w:t>
      </w:r>
      <w:r w:rsidR="00B17044" w:rsidRPr="008623E1">
        <w:t xml:space="preserve">1.2(b)(iii); </w:t>
      </w:r>
      <w:r w:rsidR="00B17044" w:rsidRPr="008623E1">
        <w:rPr>
          <w:i/>
        </w:rPr>
        <w:t>Edwards v. State Bar</w:t>
      </w:r>
      <w:r w:rsidR="00B17044">
        <w:t xml:space="preserve"> (1990)</w:t>
      </w:r>
      <w:r w:rsidR="00B17044" w:rsidRPr="008623E1">
        <w:t xml:space="preserve"> 52 </w:t>
      </w:r>
      <w:proofErr w:type="spellStart"/>
      <w:r w:rsidR="00B17044" w:rsidRPr="008623E1">
        <w:t>Cal.3d</w:t>
      </w:r>
      <w:proofErr w:type="spellEnd"/>
      <w:r w:rsidR="00B17044" w:rsidRPr="008623E1">
        <w:t xml:space="preserve"> 28, 35-36</w:t>
      </w:r>
      <w:r w:rsidR="00B17044">
        <w:t>.)  We agree</w:t>
      </w:r>
      <w:r w:rsidR="00535A65">
        <w:t>,</w:t>
      </w:r>
      <w:r w:rsidR="00B17044">
        <w:t xml:space="preserve"> </w:t>
      </w:r>
      <w:r w:rsidR="00472040">
        <w:t>but</w:t>
      </w:r>
      <w:r w:rsidR="00B17044">
        <w:t xml:space="preserve"> </w:t>
      </w:r>
      <w:r w:rsidR="00472040">
        <w:t xml:space="preserve">also </w:t>
      </w:r>
      <w:r w:rsidR="00B17044">
        <w:t xml:space="preserve">find </w:t>
      </w:r>
      <w:r w:rsidR="00472040">
        <w:t xml:space="preserve">a third </w:t>
      </w:r>
      <w:r w:rsidR="00535A65">
        <w:t xml:space="preserve">aggravating </w:t>
      </w:r>
      <w:r w:rsidR="00472040">
        <w:t xml:space="preserve">factor in </w:t>
      </w:r>
      <w:r w:rsidR="00B17044">
        <w:t xml:space="preserve">that </w:t>
      </w:r>
      <w:r>
        <w:t>Sullivan</w:t>
      </w:r>
      <w:r w:rsidR="003F26E6">
        <w:t xml:space="preserve"> lacks </w:t>
      </w:r>
      <w:r w:rsidR="00B17044">
        <w:t>insight into his misconduct</w:t>
      </w:r>
      <w:r w:rsidR="00472040">
        <w:t xml:space="preserve">. </w:t>
      </w:r>
      <w:r w:rsidR="003F26E6">
        <w:t xml:space="preserve"> (Std. 1.2(b)(v).</w:t>
      </w:r>
      <w:r w:rsidR="00A13D11">
        <w:t>)</w:t>
      </w:r>
    </w:p>
    <w:p w:rsidR="002B7C37" w:rsidRDefault="002B7C37" w:rsidP="00B574E6">
      <w:pPr>
        <w:ind w:firstLine="720"/>
      </w:pPr>
    </w:p>
    <w:p w:rsidR="00542A78" w:rsidRPr="00542A78" w:rsidRDefault="00542A78" w:rsidP="00542A78">
      <w:pPr>
        <w:pStyle w:val="ListParagraph"/>
        <w:numPr>
          <w:ilvl w:val="0"/>
          <w:numId w:val="11"/>
        </w:numPr>
        <w:rPr>
          <w:b/>
        </w:rPr>
      </w:pPr>
      <w:r w:rsidRPr="00542A78">
        <w:rPr>
          <w:b/>
        </w:rPr>
        <w:lastRenderedPageBreak/>
        <w:t xml:space="preserve"> </w:t>
      </w:r>
      <w:r w:rsidR="00EF5BD6">
        <w:rPr>
          <w:b/>
        </w:rPr>
        <w:t>Sullivan Has</w:t>
      </w:r>
      <w:r w:rsidRPr="00542A78">
        <w:rPr>
          <w:b/>
        </w:rPr>
        <w:t xml:space="preserve"> Three Prior Discipline Cases</w:t>
      </w:r>
    </w:p>
    <w:p w:rsidR="00F11271" w:rsidRDefault="00FA0F47" w:rsidP="00F11271">
      <w:pPr>
        <w:ind w:firstLine="720"/>
      </w:pPr>
      <w:r>
        <w:t xml:space="preserve">Sullivan has an extensive record of discipline.  </w:t>
      </w:r>
      <w:r w:rsidR="00F11271">
        <w:t xml:space="preserve">For more than a decade, </w:t>
      </w:r>
      <w:r>
        <w:t>he</w:t>
      </w:r>
      <w:r w:rsidR="00CB3B71">
        <w:t xml:space="preserve"> operated a </w:t>
      </w:r>
      <w:r w:rsidR="007D0D2C">
        <w:t xml:space="preserve">lax </w:t>
      </w:r>
      <w:r w:rsidR="00472040">
        <w:t xml:space="preserve">office management </w:t>
      </w:r>
      <w:r w:rsidR="007D0D2C">
        <w:t>system that</w:t>
      </w:r>
      <w:r w:rsidR="00CB3B71">
        <w:t xml:space="preserve"> caused </w:t>
      </w:r>
      <w:r w:rsidR="00F11271">
        <w:t xml:space="preserve">case dismissals, settlement disbursement delays, client communication failures and trust account </w:t>
      </w:r>
      <w:r w:rsidR="00537DDA">
        <w:t>violations.  S</w:t>
      </w:r>
      <w:r w:rsidR="00F11271">
        <w:t>ullivan harmed at least</w:t>
      </w:r>
      <w:r w:rsidR="007D0D2C">
        <w:t xml:space="preserve"> nine clients </w:t>
      </w:r>
      <w:r w:rsidR="009A254A">
        <w:t>from 198</w:t>
      </w:r>
      <w:r w:rsidR="00811197">
        <w:t>8</w:t>
      </w:r>
      <w:r w:rsidR="009A254A">
        <w:t xml:space="preserve"> to 2000</w:t>
      </w:r>
      <w:r>
        <w:t xml:space="preserve">.  We assign great aggravating weight to </w:t>
      </w:r>
      <w:r w:rsidR="00B574E6">
        <w:t>his</w:t>
      </w:r>
      <w:r>
        <w:t xml:space="preserve"> prior record.</w:t>
      </w:r>
      <w:r w:rsidR="00F11271">
        <w:t xml:space="preserve">  </w:t>
      </w:r>
    </w:p>
    <w:p w:rsidR="00F11271" w:rsidRPr="00F11271" w:rsidRDefault="00F11271" w:rsidP="00496373">
      <w:pPr>
        <w:ind w:firstLine="720"/>
        <w:rPr>
          <w:u w:val="single"/>
        </w:rPr>
      </w:pPr>
      <w:r w:rsidRPr="00F11271">
        <w:rPr>
          <w:u w:val="single"/>
        </w:rPr>
        <w:t>T</w:t>
      </w:r>
      <w:r w:rsidR="00B17044" w:rsidRPr="00F11271">
        <w:rPr>
          <w:u w:val="single"/>
        </w:rPr>
        <w:t xml:space="preserve">he </w:t>
      </w:r>
      <w:r w:rsidRPr="00F11271">
        <w:rPr>
          <w:u w:val="single"/>
        </w:rPr>
        <w:t xml:space="preserve">First Discipline </w:t>
      </w:r>
      <w:r w:rsidR="00E04211">
        <w:rPr>
          <w:u w:val="single"/>
        </w:rPr>
        <w:t xml:space="preserve">– </w:t>
      </w:r>
      <w:r w:rsidRPr="00F11271">
        <w:rPr>
          <w:u w:val="single"/>
        </w:rPr>
        <w:t>1997</w:t>
      </w:r>
      <w:r w:rsidR="00B17044" w:rsidRPr="00F11271">
        <w:rPr>
          <w:u w:val="single"/>
        </w:rPr>
        <w:t xml:space="preserve"> (Sup</w:t>
      </w:r>
      <w:r w:rsidR="00911811">
        <w:rPr>
          <w:u w:val="single"/>
        </w:rPr>
        <w:t>reme Court C</w:t>
      </w:r>
      <w:r w:rsidRPr="00F11271">
        <w:rPr>
          <w:u w:val="single"/>
        </w:rPr>
        <w:t xml:space="preserve">ase number </w:t>
      </w:r>
      <w:proofErr w:type="spellStart"/>
      <w:r w:rsidRPr="00F11271">
        <w:rPr>
          <w:u w:val="single"/>
        </w:rPr>
        <w:t>S060193</w:t>
      </w:r>
      <w:proofErr w:type="spellEnd"/>
      <w:r w:rsidRPr="00F11271">
        <w:rPr>
          <w:u w:val="single"/>
        </w:rPr>
        <w:t>)</w:t>
      </w:r>
    </w:p>
    <w:p w:rsidR="006D79A4" w:rsidRDefault="00F11271" w:rsidP="00F11271">
      <w:pPr>
        <w:ind w:firstLine="720"/>
      </w:pPr>
      <w:r>
        <w:t xml:space="preserve">This discipline covers misconduct </w:t>
      </w:r>
      <w:r w:rsidR="00B17044">
        <w:t>from 198</w:t>
      </w:r>
      <w:r w:rsidR="00811197">
        <w:t>8</w:t>
      </w:r>
      <w:r w:rsidR="000309D4">
        <w:t xml:space="preserve"> through</w:t>
      </w:r>
      <w:r w:rsidR="00B17044">
        <w:t xml:space="preserve"> 1993 in five client matters. </w:t>
      </w:r>
      <w:r w:rsidR="00FA6331">
        <w:t xml:space="preserve"> </w:t>
      </w:r>
      <w:r w:rsidR="00B17044">
        <w:t>(</w:t>
      </w:r>
      <w:r w:rsidR="00B17044" w:rsidRPr="00F11271">
        <w:rPr>
          <w:i/>
        </w:rPr>
        <w:t>In the Matter of Sullivan</w:t>
      </w:r>
      <w:r w:rsidR="00B17044">
        <w:t xml:space="preserve"> (Review Dept. 1997) 3 Cal. State Bar Ct. </w:t>
      </w:r>
      <w:proofErr w:type="spellStart"/>
      <w:r w:rsidR="00B17044">
        <w:t>Rptr</w:t>
      </w:r>
      <w:proofErr w:type="spellEnd"/>
      <w:r w:rsidR="00B17044">
        <w:t xml:space="preserve">. 608.)  </w:t>
      </w:r>
      <w:r w:rsidR="000309D4">
        <w:t>During this time,</w:t>
      </w:r>
      <w:r w:rsidR="00F75978">
        <w:t xml:space="preserve"> Sullivan did not properly supervise a secretary who threw away or hid documents in several cases</w:t>
      </w:r>
      <w:r w:rsidR="00B574E6">
        <w:t>,</w:t>
      </w:r>
      <w:r w:rsidR="000309D4">
        <w:t xml:space="preserve"> and </w:t>
      </w:r>
      <w:r w:rsidR="00496373">
        <w:t xml:space="preserve">he </w:t>
      </w:r>
      <w:r w:rsidR="003B072E">
        <w:t xml:space="preserve">failed to </w:t>
      </w:r>
      <w:r w:rsidR="000309D4">
        <w:t>periodically review his files</w:t>
      </w:r>
      <w:r w:rsidR="00496373">
        <w:t xml:space="preserve"> to discover the missing items</w:t>
      </w:r>
      <w:r w:rsidR="00F75978">
        <w:t xml:space="preserve">.  </w:t>
      </w:r>
      <w:r w:rsidR="000309D4">
        <w:t>He</w:t>
      </w:r>
      <w:r>
        <w:t xml:space="preserve"> was found culpable </w:t>
      </w:r>
      <w:r w:rsidR="00A13D11">
        <w:t>o</w:t>
      </w:r>
      <w:r>
        <w:t xml:space="preserve">f </w:t>
      </w:r>
      <w:r w:rsidR="00EC05FB">
        <w:t xml:space="preserve">failing to: (1) </w:t>
      </w:r>
      <w:r w:rsidR="00496373">
        <w:t>perform</w:t>
      </w:r>
      <w:r w:rsidR="00EC05FB">
        <w:t xml:space="preserve"> </w:t>
      </w:r>
      <w:r w:rsidR="00496373">
        <w:t>competently</w:t>
      </w:r>
      <w:r w:rsidR="00EC05FB">
        <w:t>, (2) apprise clients of case status, and (3) return a file</w:t>
      </w:r>
      <w:r>
        <w:t xml:space="preserve">.  </w:t>
      </w:r>
      <w:r w:rsidR="00F75978">
        <w:t xml:space="preserve">In aggravation, </w:t>
      </w:r>
      <w:r w:rsidR="00EC05FB">
        <w:t>Sullivan</w:t>
      </w:r>
      <w:r>
        <w:t xml:space="preserve"> caused harm to clients</w:t>
      </w:r>
      <w:r w:rsidR="00EC05FB">
        <w:t xml:space="preserve"> whose cases were dismissed because he failed to appear in court</w:t>
      </w:r>
      <w:r w:rsidR="00EF5BD6">
        <w:t xml:space="preserve">.  In mitigation, </w:t>
      </w:r>
      <w:r w:rsidR="003B072E">
        <w:t xml:space="preserve">he </w:t>
      </w:r>
      <w:r w:rsidR="00537DDA">
        <w:t>was credited</w:t>
      </w:r>
      <w:r w:rsidR="003B072E">
        <w:t xml:space="preserve"> for </w:t>
      </w:r>
      <w:r w:rsidR="00F75978">
        <w:t>practicing law</w:t>
      </w:r>
      <w:r>
        <w:t xml:space="preserve"> for 21 years without discipline, </w:t>
      </w:r>
      <w:r w:rsidR="00F75978">
        <w:t xml:space="preserve">correcting </w:t>
      </w:r>
      <w:r>
        <w:t xml:space="preserve">flaws in his case management system, </w:t>
      </w:r>
      <w:r w:rsidR="00F75978">
        <w:t xml:space="preserve">acknowledging </w:t>
      </w:r>
      <w:r>
        <w:t xml:space="preserve">responsibility for his wrongdoing and </w:t>
      </w:r>
      <w:r w:rsidR="00F75978">
        <w:t>downsizing his practice</w:t>
      </w:r>
      <w:r>
        <w:t xml:space="preserve"> before the State Bar contacted him.  </w:t>
      </w:r>
      <w:r w:rsidR="00F75978">
        <w:t xml:space="preserve">Sullivan received </w:t>
      </w:r>
      <w:r>
        <w:t xml:space="preserve">a </w:t>
      </w:r>
      <w:r w:rsidR="00E04211">
        <w:t>60</w:t>
      </w:r>
      <w:r>
        <w:t xml:space="preserve">-day actual suspension subject to a one-year stayed suspension and three years of probation.      </w:t>
      </w:r>
    </w:p>
    <w:p w:rsidR="00F75978" w:rsidRDefault="00F75978" w:rsidP="00496373">
      <w:pPr>
        <w:ind w:firstLine="720"/>
        <w:rPr>
          <w:u w:val="single"/>
        </w:rPr>
      </w:pPr>
      <w:r>
        <w:rPr>
          <w:u w:val="single"/>
        </w:rPr>
        <w:t>The Second Discipline – 2000</w:t>
      </w:r>
      <w:r w:rsidR="00B17044" w:rsidRPr="00F75978">
        <w:rPr>
          <w:u w:val="single"/>
        </w:rPr>
        <w:t xml:space="preserve"> (Supreme Court Case number </w:t>
      </w:r>
      <w:proofErr w:type="spellStart"/>
      <w:r w:rsidR="00B17044" w:rsidRPr="00F75978">
        <w:rPr>
          <w:u w:val="single"/>
        </w:rPr>
        <w:t>S089249</w:t>
      </w:r>
      <w:proofErr w:type="spellEnd"/>
      <w:r w:rsidR="00B17044" w:rsidRPr="00F75978">
        <w:rPr>
          <w:u w:val="single"/>
        </w:rPr>
        <w:t>)</w:t>
      </w:r>
    </w:p>
    <w:p w:rsidR="00496373" w:rsidRDefault="00F75978" w:rsidP="00496373">
      <w:r>
        <w:tab/>
        <w:t>This discipline covers misconduct from 1990 to 1991 in one matter</w:t>
      </w:r>
      <w:r w:rsidR="00911811">
        <w:t xml:space="preserve"> involving three clients</w:t>
      </w:r>
      <w:r>
        <w:t xml:space="preserve">.  Sullivan stipulated to </w:t>
      </w:r>
      <w:r w:rsidR="00B17044">
        <w:t xml:space="preserve">culpability </w:t>
      </w:r>
      <w:r w:rsidR="00496373">
        <w:t xml:space="preserve">for performing incompetently when a case was dismissed because he missed </w:t>
      </w:r>
      <w:r w:rsidR="00911811">
        <w:t xml:space="preserve">several </w:t>
      </w:r>
      <w:r w:rsidR="00496373">
        <w:t>court appearances</w:t>
      </w:r>
      <w:r>
        <w:t xml:space="preserve">.  He </w:t>
      </w:r>
      <w:r w:rsidR="00EF5BD6">
        <w:t xml:space="preserve">also failed </w:t>
      </w:r>
      <w:r>
        <w:t xml:space="preserve">to respond to client status inquiries.  </w:t>
      </w:r>
      <w:r w:rsidR="00B17044">
        <w:t xml:space="preserve">In aggravation, Sullivan had a prior record of discipline and </w:t>
      </w:r>
      <w:r w:rsidR="00F4122F">
        <w:t>caused harm to his client</w:t>
      </w:r>
      <w:r w:rsidR="00911811">
        <w:t>s</w:t>
      </w:r>
      <w:r w:rsidR="00F4122F">
        <w:t>.</w:t>
      </w:r>
      <w:r w:rsidR="00B17044">
        <w:t xml:space="preserve">  In mitigation, the secretary who mishandled documents in the first disciplin</w:t>
      </w:r>
      <w:r w:rsidR="00F60827">
        <w:t>ary matter</w:t>
      </w:r>
      <w:r w:rsidR="00B17044">
        <w:t xml:space="preserve"> also worked on this case, Sullivan</w:t>
      </w:r>
      <w:r w:rsidR="000E44F2">
        <w:t xml:space="preserve"> was </w:t>
      </w:r>
      <w:r w:rsidR="00B17044">
        <w:t xml:space="preserve">distracted </w:t>
      </w:r>
      <w:r w:rsidR="008E3BEC">
        <w:t>by his own divorce proceedings, and h</w:t>
      </w:r>
      <w:r w:rsidR="00154AD2">
        <w:t xml:space="preserve">e </w:t>
      </w:r>
      <w:r w:rsidR="00A13D11">
        <w:t xml:space="preserve">was </w:t>
      </w:r>
      <w:r w:rsidR="00154AD2">
        <w:lastRenderedPageBreak/>
        <w:t xml:space="preserve">again credited for downsizing </w:t>
      </w:r>
      <w:r w:rsidR="00EF5BD6">
        <w:t xml:space="preserve">his </w:t>
      </w:r>
      <w:r w:rsidR="00FD561F">
        <w:t>office</w:t>
      </w:r>
      <w:r w:rsidR="000E44F2">
        <w:t xml:space="preserve">.  </w:t>
      </w:r>
      <w:r w:rsidR="00EF5BD6">
        <w:t xml:space="preserve">Sullivan received </w:t>
      </w:r>
      <w:r w:rsidR="00B17044">
        <w:t>a one-year stayed suspension and two</w:t>
      </w:r>
      <w:r w:rsidR="000E44F2">
        <w:t xml:space="preserve"> </w:t>
      </w:r>
      <w:r w:rsidR="00B17044">
        <w:t>year</w:t>
      </w:r>
      <w:r w:rsidR="000E44F2">
        <w:t>s of</w:t>
      </w:r>
      <w:r w:rsidR="00B17044">
        <w:t xml:space="preserve"> probation. </w:t>
      </w:r>
    </w:p>
    <w:p w:rsidR="00EF5BD6" w:rsidRDefault="00496373" w:rsidP="00496373">
      <w:r>
        <w:tab/>
      </w:r>
      <w:r w:rsidR="00EF5BD6" w:rsidRPr="00EF5BD6">
        <w:rPr>
          <w:u w:val="single"/>
        </w:rPr>
        <w:t xml:space="preserve">The Third Discipline </w:t>
      </w:r>
      <w:r w:rsidR="00A13D11">
        <w:rPr>
          <w:u w:val="single"/>
        </w:rPr>
        <w:t xml:space="preserve">– 2002 </w:t>
      </w:r>
      <w:r w:rsidR="00B17044" w:rsidRPr="00EF5BD6">
        <w:rPr>
          <w:u w:val="single"/>
        </w:rPr>
        <w:t xml:space="preserve">(Supreme Court Case number </w:t>
      </w:r>
      <w:proofErr w:type="spellStart"/>
      <w:r w:rsidR="00B17044" w:rsidRPr="00EF5BD6">
        <w:rPr>
          <w:u w:val="single"/>
        </w:rPr>
        <w:t>S108822</w:t>
      </w:r>
      <w:proofErr w:type="spellEnd"/>
      <w:r w:rsidR="00B17044" w:rsidRPr="00EF5BD6">
        <w:rPr>
          <w:u w:val="single"/>
        </w:rPr>
        <w:t>)</w:t>
      </w:r>
    </w:p>
    <w:p w:rsidR="00196C39" w:rsidRDefault="00EF5BD6" w:rsidP="00496373">
      <w:r>
        <w:tab/>
        <w:t xml:space="preserve">This discipline covers misconduct from </w:t>
      </w:r>
      <w:r w:rsidR="00B17044">
        <w:t>1996 to 2000</w:t>
      </w:r>
      <w:r w:rsidR="00F634BC">
        <w:t xml:space="preserve"> </w:t>
      </w:r>
      <w:r>
        <w:t xml:space="preserve">involving </w:t>
      </w:r>
      <w:r w:rsidR="00F634BC">
        <w:t>three clients</w:t>
      </w:r>
      <w:r w:rsidR="00154AD2">
        <w:t xml:space="preserve">.  </w:t>
      </w:r>
      <w:r w:rsidR="00B17044">
        <w:t xml:space="preserve">Sullivan stipulated to </w:t>
      </w:r>
      <w:r w:rsidR="00EC05FB">
        <w:t xml:space="preserve">culpability for </w:t>
      </w:r>
      <w:r w:rsidR="00911811">
        <w:t>performing incompetently and committing trust account violations</w:t>
      </w:r>
      <w:r w:rsidR="00EC05FB">
        <w:t xml:space="preserve"> by</w:t>
      </w:r>
      <w:r w:rsidR="00537DDA">
        <w:t>:</w:t>
      </w:r>
      <w:r>
        <w:t xml:space="preserve"> </w:t>
      </w:r>
      <w:r w:rsidR="00496373">
        <w:t xml:space="preserve">(1) </w:t>
      </w:r>
      <w:r>
        <w:t>failing to supervise</w:t>
      </w:r>
      <w:r w:rsidR="00154AD2">
        <w:t xml:space="preserve"> an attorney employee who issued </w:t>
      </w:r>
      <w:r w:rsidR="00B17044">
        <w:t xml:space="preserve">three insufficiently funded checks from </w:t>
      </w:r>
      <w:r w:rsidR="00F634BC">
        <w:t>his</w:t>
      </w:r>
      <w:r w:rsidR="00B17044">
        <w:t xml:space="preserve"> </w:t>
      </w:r>
      <w:proofErr w:type="spellStart"/>
      <w:r w:rsidR="00B17044">
        <w:t>CTAs</w:t>
      </w:r>
      <w:proofErr w:type="spellEnd"/>
      <w:r w:rsidR="00196C39">
        <w:t>,</w:t>
      </w:r>
      <w:r w:rsidR="00684474">
        <w:t xml:space="preserve"> </w:t>
      </w:r>
      <w:r w:rsidR="00496373">
        <w:t xml:space="preserve">(2) failing to </w:t>
      </w:r>
      <w:r w:rsidR="00684474">
        <w:t>properly deposit or dis</w:t>
      </w:r>
      <w:r w:rsidR="00A13D11">
        <w:t>burse</w:t>
      </w:r>
      <w:r w:rsidR="00B17044">
        <w:t xml:space="preserve"> settlement funds</w:t>
      </w:r>
      <w:r w:rsidR="00496373">
        <w:t xml:space="preserve">, (3) failing to </w:t>
      </w:r>
      <w:r w:rsidR="00196C39">
        <w:t xml:space="preserve">promptly </w:t>
      </w:r>
      <w:r w:rsidR="00684474">
        <w:t>pay a medical provider</w:t>
      </w:r>
      <w:r w:rsidR="00911811">
        <w:t>, and (4) failing to supervise office staff regarding settlement paperwork</w:t>
      </w:r>
      <w:r w:rsidR="00B17044">
        <w:t>.</w:t>
      </w:r>
      <w:r w:rsidR="00CA1743">
        <w:t xml:space="preserve"> </w:t>
      </w:r>
      <w:r w:rsidR="00B17044">
        <w:t xml:space="preserve"> </w:t>
      </w:r>
      <w:r w:rsidR="00537DDA">
        <w:t xml:space="preserve">In aggravation, Sullivan had a prior </w:t>
      </w:r>
      <w:r w:rsidR="00496373">
        <w:t>record of discipline</w:t>
      </w:r>
      <w:r w:rsidR="00537DDA">
        <w:t xml:space="preserve">.  No mitigating factors </w:t>
      </w:r>
      <w:r w:rsidR="00195F08">
        <w:t>were present</w:t>
      </w:r>
      <w:r w:rsidR="001E5658">
        <w:t xml:space="preserve">. </w:t>
      </w:r>
      <w:r w:rsidR="00B17044">
        <w:t xml:space="preserve"> </w:t>
      </w:r>
      <w:r>
        <w:t xml:space="preserve">Sullivan received a </w:t>
      </w:r>
      <w:r w:rsidR="00B17044">
        <w:t xml:space="preserve">75-day actual suspension </w:t>
      </w:r>
      <w:r>
        <w:t>subject to an 18</w:t>
      </w:r>
      <w:r w:rsidR="003B072E">
        <w:t>-</w:t>
      </w:r>
      <w:r>
        <w:t xml:space="preserve">month stayed suspension </w:t>
      </w:r>
      <w:r w:rsidR="00B17044">
        <w:t>and two</w:t>
      </w:r>
      <w:r w:rsidR="00CA1743">
        <w:t xml:space="preserve"> </w:t>
      </w:r>
      <w:r w:rsidR="00B17044">
        <w:t>year</w:t>
      </w:r>
      <w:r w:rsidR="00CA1743">
        <w:t>s of</w:t>
      </w:r>
      <w:r w:rsidR="00B17044">
        <w:t xml:space="preserve"> probation.</w:t>
      </w:r>
    </w:p>
    <w:p w:rsidR="00542A78" w:rsidRPr="00F23BF1" w:rsidRDefault="00EF5BD6" w:rsidP="00F23BF1">
      <w:pPr>
        <w:pStyle w:val="ListParagraph"/>
        <w:numPr>
          <w:ilvl w:val="0"/>
          <w:numId w:val="11"/>
        </w:numPr>
        <w:rPr>
          <w:b/>
        </w:rPr>
      </w:pPr>
      <w:r>
        <w:rPr>
          <w:b/>
        </w:rPr>
        <w:t xml:space="preserve">Sullivan Did Not </w:t>
      </w:r>
      <w:r w:rsidR="00542A78" w:rsidRPr="00F23BF1">
        <w:rPr>
          <w:b/>
        </w:rPr>
        <w:t xml:space="preserve">Report </w:t>
      </w:r>
      <w:r>
        <w:rPr>
          <w:b/>
        </w:rPr>
        <w:t xml:space="preserve">the </w:t>
      </w:r>
      <w:r w:rsidR="00542A78" w:rsidRPr="00F23BF1">
        <w:rPr>
          <w:b/>
        </w:rPr>
        <w:t xml:space="preserve">Criminal Charges </w:t>
      </w:r>
      <w:r>
        <w:rPr>
          <w:b/>
        </w:rPr>
        <w:t>or</w:t>
      </w:r>
      <w:r w:rsidR="00542A78" w:rsidRPr="00F23BF1">
        <w:rPr>
          <w:b/>
        </w:rPr>
        <w:t xml:space="preserve"> Conviction</w:t>
      </w:r>
    </w:p>
    <w:p w:rsidR="003B072E" w:rsidRDefault="003B072E" w:rsidP="00832035">
      <w:pPr>
        <w:ind w:firstLine="720"/>
      </w:pPr>
      <w:r>
        <w:t>The State Bar Act mandates that criminal charges and conviction</w:t>
      </w:r>
      <w:r w:rsidR="00FD561F">
        <w:t>s</w:t>
      </w:r>
      <w:r>
        <w:t xml:space="preserve"> </w:t>
      </w:r>
      <w:r w:rsidR="00537DDA">
        <w:t xml:space="preserve">be reported </w:t>
      </w:r>
      <w:r>
        <w:t xml:space="preserve">to the State Bar within 30 days.  </w:t>
      </w:r>
      <w:r w:rsidR="002B7C37">
        <w:t xml:space="preserve">(§ 6068, </w:t>
      </w:r>
      <w:proofErr w:type="spellStart"/>
      <w:r w:rsidR="002B7C37">
        <w:t>subd</w:t>
      </w:r>
      <w:proofErr w:type="spellEnd"/>
      <w:r w:rsidR="002B7C37">
        <w:t xml:space="preserve">. (o)(4) and (5) [State Bar Act]; </w:t>
      </w:r>
      <w:r w:rsidR="002B7C37">
        <w:rPr>
          <w:i/>
        </w:rPr>
        <w:t>In the Matter of Duxbury</w:t>
      </w:r>
      <w:r w:rsidR="002B7C37">
        <w:t xml:space="preserve"> (Review Dept. 1999) 4 Cal. State Bar Ct. </w:t>
      </w:r>
      <w:proofErr w:type="spellStart"/>
      <w:r w:rsidR="002B7C37">
        <w:t>Rptr</w:t>
      </w:r>
      <w:proofErr w:type="spellEnd"/>
      <w:r w:rsidR="002B7C37">
        <w:t xml:space="preserve">. 61, 65, fn. 3 [preexisting duty under State Bar Act to report misdemeanor conviction within 30 days after no contest plea].)  </w:t>
      </w:r>
      <w:r>
        <w:t xml:space="preserve">And </w:t>
      </w:r>
      <w:r w:rsidR="00537DDA">
        <w:t xml:space="preserve">Sullivan’s </w:t>
      </w:r>
      <w:r>
        <w:t>disciplinary probation</w:t>
      </w:r>
      <w:r w:rsidR="00B36426">
        <w:t xml:space="preserve"> condition</w:t>
      </w:r>
      <w:r>
        <w:t xml:space="preserve">s specifically required </w:t>
      </w:r>
      <w:r w:rsidR="00537DDA">
        <w:t xml:space="preserve">that he </w:t>
      </w:r>
      <w:r>
        <w:t xml:space="preserve">comply with the State Bar Act.  </w:t>
      </w:r>
      <w:r w:rsidR="00537DDA">
        <w:t>Yet</w:t>
      </w:r>
      <w:r w:rsidR="00A13D11">
        <w:t xml:space="preserve"> he</w:t>
      </w:r>
      <w:r>
        <w:t xml:space="preserve"> failed to report</w:t>
      </w:r>
      <w:r w:rsidR="00537DDA">
        <w:t xml:space="preserve"> his criminal charges and conviction</w:t>
      </w:r>
      <w:r>
        <w:t xml:space="preserve">, which is serious </w:t>
      </w:r>
      <w:r w:rsidR="00576A42">
        <w:t>uncharged misconduct</w:t>
      </w:r>
      <w:r w:rsidR="007E2D1D">
        <w:t>.</w:t>
      </w:r>
      <w:r>
        <w:t xml:space="preserve"> </w:t>
      </w:r>
      <w:r w:rsidR="000C202F">
        <w:t xml:space="preserve"> </w:t>
      </w:r>
      <w:r w:rsidR="007B4F94">
        <w:t>(Std. 1.2</w:t>
      </w:r>
      <w:r w:rsidR="002B7C37">
        <w:t>(b)(iii)</w:t>
      </w:r>
      <w:r w:rsidR="007B4F94">
        <w:t>.</w:t>
      </w:r>
      <w:r w:rsidR="002B7C37">
        <w:t xml:space="preserve">)  </w:t>
      </w:r>
      <w:r w:rsidR="00B36426">
        <w:t>Since t</w:t>
      </w:r>
      <w:r>
        <w:t>he directives to report were clear</w:t>
      </w:r>
      <w:r w:rsidR="00537DDA">
        <w:t>,</w:t>
      </w:r>
      <w:r>
        <w:t xml:space="preserve"> we</w:t>
      </w:r>
      <w:r w:rsidR="007C4CDB">
        <w:t xml:space="preserve"> reject </w:t>
      </w:r>
      <w:r w:rsidR="00496373">
        <w:t xml:space="preserve">Sullivan’s </w:t>
      </w:r>
      <w:r w:rsidR="007C4CDB">
        <w:t xml:space="preserve">explanation that he </w:t>
      </w:r>
      <w:r w:rsidR="00684474">
        <w:t>did</w:t>
      </w:r>
      <w:r w:rsidR="00F62AB9">
        <w:t xml:space="preserve"> not</w:t>
      </w:r>
      <w:r w:rsidR="00684474">
        <w:t xml:space="preserve"> know he had </w:t>
      </w:r>
      <w:r w:rsidR="00EF5BD6">
        <w:t xml:space="preserve">to </w:t>
      </w:r>
      <w:r w:rsidR="00B36426">
        <w:t>do so</w:t>
      </w:r>
      <w:r w:rsidR="00684474">
        <w:t xml:space="preserve">.  </w:t>
      </w:r>
      <w:r w:rsidR="00103E46">
        <w:t>(</w:t>
      </w:r>
      <w:r w:rsidR="00103E46">
        <w:rPr>
          <w:i/>
        </w:rPr>
        <w:t xml:space="preserve">In the Matter of </w:t>
      </w:r>
      <w:proofErr w:type="spellStart"/>
      <w:r w:rsidR="00103E46">
        <w:rPr>
          <w:i/>
        </w:rPr>
        <w:t>Oheb</w:t>
      </w:r>
      <w:proofErr w:type="spellEnd"/>
      <w:r w:rsidR="001D1792">
        <w:rPr>
          <w:i/>
        </w:rPr>
        <w:t xml:space="preserve"> </w:t>
      </w:r>
      <w:r w:rsidR="001D1792">
        <w:t xml:space="preserve">(Review Dept. 2006) 4 Cal. State Bar Ct. </w:t>
      </w:r>
      <w:proofErr w:type="spellStart"/>
      <w:r w:rsidR="001D1792">
        <w:t>Rptr</w:t>
      </w:r>
      <w:proofErr w:type="spellEnd"/>
      <w:r w:rsidR="001D1792">
        <w:t xml:space="preserve">. 920, </w:t>
      </w:r>
      <w:r w:rsidR="00103E46">
        <w:t>937 [</w:t>
      </w:r>
      <w:r w:rsidR="00856A70">
        <w:t>“serious act of misconduct” of failing to notify State</w:t>
      </w:r>
      <w:r w:rsidR="00872069">
        <w:t xml:space="preserve"> Bar not excused by </w:t>
      </w:r>
      <w:r w:rsidR="00856A70">
        <w:t>ignorance of rule requiring notification</w:t>
      </w:r>
      <w:r w:rsidR="00103E46">
        <w:t>].)</w:t>
      </w:r>
      <w:r w:rsidR="001839D3">
        <w:t xml:space="preserve">  </w:t>
      </w:r>
    </w:p>
    <w:p w:rsidR="00832035" w:rsidRDefault="003B072E" w:rsidP="00832035">
      <w:pPr>
        <w:ind w:firstLine="720"/>
      </w:pPr>
      <w:r>
        <w:t xml:space="preserve">By </w:t>
      </w:r>
      <w:r w:rsidR="00FD561F">
        <w:t>failing to report</w:t>
      </w:r>
      <w:r>
        <w:t>, Sullivan impeded the disciplinary process.  T</w:t>
      </w:r>
      <w:r w:rsidR="00507C77">
        <w:t xml:space="preserve">he State Bar Court was not </w:t>
      </w:r>
      <w:r w:rsidR="008F5C6E">
        <w:t>informed</w:t>
      </w:r>
      <w:r w:rsidR="00507C77">
        <w:t xml:space="preserve"> of </w:t>
      </w:r>
      <w:r w:rsidR="00A13D11">
        <w:t>his</w:t>
      </w:r>
      <w:r w:rsidR="00507C77">
        <w:t xml:space="preserve"> 199</w:t>
      </w:r>
      <w:r>
        <w:t>9</w:t>
      </w:r>
      <w:r w:rsidR="00507C77">
        <w:t xml:space="preserve"> conviction when it </w:t>
      </w:r>
      <w:r>
        <w:t xml:space="preserve">made recommendations </w:t>
      </w:r>
      <w:r w:rsidR="00507C77">
        <w:t xml:space="preserve">to </w:t>
      </w:r>
      <w:r w:rsidR="00496373">
        <w:t>the Supreme Court</w:t>
      </w:r>
      <w:r w:rsidR="00537DDA">
        <w:t xml:space="preserve"> for</w:t>
      </w:r>
      <w:r w:rsidR="00507C77">
        <w:t xml:space="preserve"> </w:t>
      </w:r>
      <w:r w:rsidR="00A13D11">
        <w:lastRenderedPageBreak/>
        <w:t>Sullivan’s</w:t>
      </w:r>
      <w:r w:rsidR="00496373">
        <w:t xml:space="preserve"> second and third discipline</w:t>
      </w:r>
      <w:r w:rsidR="00507C77">
        <w:t xml:space="preserve"> cases in 2000 and 2002, re</w:t>
      </w:r>
      <w:r>
        <w:t>spectively</w:t>
      </w:r>
      <w:r w:rsidR="00507C77">
        <w:t xml:space="preserve">.  </w:t>
      </w:r>
      <w:r w:rsidR="00537DDA">
        <w:t>Similarly</w:t>
      </w:r>
      <w:r w:rsidR="00507C77">
        <w:t>, the Supreme Court was unaware of the conviction when it imposed discipline in those cases</w:t>
      </w:r>
      <w:r w:rsidR="00496373">
        <w:t>.</w:t>
      </w:r>
      <w:r w:rsidR="007C4CDB">
        <w:t xml:space="preserve">  </w:t>
      </w:r>
      <w:r w:rsidR="00196C39">
        <w:t xml:space="preserve">Under these circumstances, we </w:t>
      </w:r>
      <w:r w:rsidR="007C4CDB">
        <w:t xml:space="preserve">assign heavy </w:t>
      </w:r>
      <w:r>
        <w:t xml:space="preserve">aggravating </w:t>
      </w:r>
      <w:r w:rsidR="007C4CDB">
        <w:t xml:space="preserve">weight </w:t>
      </w:r>
      <w:r>
        <w:t xml:space="preserve">to </w:t>
      </w:r>
      <w:r w:rsidR="00F62AB9">
        <w:t>this</w:t>
      </w:r>
      <w:r w:rsidR="00196C39">
        <w:t xml:space="preserve"> </w:t>
      </w:r>
      <w:r w:rsidR="00CD0376">
        <w:t>uncharged misconduct</w:t>
      </w:r>
      <w:r w:rsidR="007C4CDB">
        <w:t>.</w:t>
      </w:r>
    </w:p>
    <w:p w:rsidR="008146C8" w:rsidRPr="008146C8" w:rsidRDefault="008146C8" w:rsidP="008146C8">
      <w:pPr>
        <w:pStyle w:val="ListParagraph"/>
        <w:numPr>
          <w:ilvl w:val="0"/>
          <w:numId w:val="11"/>
        </w:numPr>
        <w:rPr>
          <w:b/>
        </w:rPr>
      </w:pPr>
      <w:r w:rsidRPr="008146C8">
        <w:rPr>
          <w:b/>
        </w:rPr>
        <w:t xml:space="preserve"> </w:t>
      </w:r>
      <w:r w:rsidR="00EF5BD6">
        <w:rPr>
          <w:b/>
        </w:rPr>
        <w:t xml:space="preserve">Sullivan Lacks </w:t>
      </w:r>
      <w:r w:rsidRPr="008146C8">
        <w:rPr>
          <w:b/>
        </w:rPr>
        <w:t>Insight into Misconduct</w:t>
      </w:r>
    </w:p>
    <w:p w:rsidR="001839D3" w:rsidRDefault="007E2D1D" w:rsidP="008146C8">
      <w:pPr>
        <w:ind w:firstLine="720"/>
      </w:pPr>
      <w:r>
        <w:t>S</w:t>
      </w:r>
      <w:r w:rsidR="003F26E6">
        <w:t xml:space="preserve">ullivan </w:t>
      </w:r>
      <w:r w:rsidR="00602F51">
        <w:t>lacks “a full understanding of th</w:t>
      </w:r>
      <w:r>
        <w:t>e seriousness of his misconduct,</w:t>
      </w:r>
      <w:r w:rsidR="00602F51">
        <w:t>”</w:t>
      </w:r>
      <w:r>
        <w:t xml:space="preserve"> which</w:t>
      </w:r>
      <w:r w:rsidR="00CD0376">
        <w:t xml:space="preserve"> </w:t>
      </w:r>
      <w:r w:rsidR="00507C77">
        <w:t xml:space="preserve">is </w:t>
      </w:r>
      <w:r w:rsidR="004E2B73">
        <w:t>a</w:t>
      </w:r>
      <w:r>
        <w:t xml:space="preserve">n </w:t>
      </w:r>
      <w:r w:rsidR="003F26E6">
        <w:t xml:space="preserve">additional </w:t>
      </w:r>
      <w:r w:rsidR="00911811">
        <w:t xml:space="preserve">and troubling </w:t>
      </w:r>
      <w:r>
        <w:t>aggravating factor</w:t>
      </w:r>
      <w:r w:rsidR="004E2B73">
        <w:t xml:space="preserve">.  </w:t>
      </w:r>
      <w:r w:rsidR="00602F51">
        <w:t>(</w:t>
      </w:r>
      <w:r w:rsidR="00602F51">
        <w:rPr>
          <w:i/>
        </w:rPr>
        <w:t>In the Matter of Duxbury</w:t>
      </w:r>
      <w:r w:rsidR="00195F08">
        <w:rPr>
          <w:i/>
        </w:rPr>
        <w:t>, supra,</w:t>
      </w:r>
      <w:r w:rsidR="00602F51">
        <w:t xml:space="preserve"> 4 Cal. State Bar Ct. </w:t>
      </w:r>
      <w:proofErr w:type="spellStart"/>
      <w:r w:rsidR="00602F51">
        <w:t>Rptr</w:t>
      </w:r>
      <w:proofErr w:type="spellEnd"/>
      <w:r w:rsidR="00602F51">
        <w:t xml:space="preserve">. </w:t>
      </w:r>
      <w:r w:rsidR="00195F08">
        <w:t xml:space="preserve">at p. </w:t>
      </w:r>
      <w:r w:rsidR="00602F51">
        <w:t xml:space="preserve">68.)  </w:t>
      </w:r>
      <w:r w:rsidR="003B072E">
        <w:t>He</w:t>
      </w:r>
      <w:r w:rsidR="00622CE0">
        <w:t xml:space="preserve"> downplayed his misconduct </w:t>
      </w:r>
      <w:r w:rsidR="002B1AC3">
        <w:t>when he testified</w:t>
      </w:r>
      <w:r w:rsidR="003B072E">
        <w:t xml:space="preserve"> </w:t>
      </w:r>
      <w:r w:rsidR="00622CE0">
        <w:t xml:space="preserve">that the conviction </w:t>
      </w:r>
      <w:r w:rsidR="00602F51">
        <w:t>“</w:t>
      </w:r>
      <w:r w:rsidR="00507C77">
        <w:t xml:space="preserve">really </w:t>
      </w:r>
      <w:r w:rsidR="003F26E6">
        <w:t>doesn’t mean anything</w:t>
      </w:r>
      <w:r w:rsidR="00622CE0">
        <w:t>.</w:t>
      </w:r>
      <w:r w:rsidR="003F26E6">
        <w:t xml:space="preserve">” </w:t>
      </w:r>
      <w:r w:rsidR="007C4CDB">
        <w:t xml:space="preserve"> </w:t>
      </w:r>
      <w:r w:rsidR="00F62AB9">
        <w:t xml:space="preserve">Clearly, </w:t>
      </w:r>
      <w:r w:rsidR="007C4CDB">
        <w:t xml:space="preserve">he does not </w:t>
      </w:r>
      <w:r w:rsidR="008F5C6E">
        <w:t>recognize</w:t>
      </w:r>
      <w:r w:rsidR="00FC2C0D">
        <w:t xml:space="preserve"> </w:t>
      </w:r>
      <w:r w:rsidR="00832B77">
        <w:t xml:space="preserve">his professional </w:t>
      </w:r>
      <w:r w:rsidR="002B7C37">
        <w:t xml:space="preserve">and </w:t>
      </w:r>
      <w:r w:rsidR="00832B77">
        <w:t>ethical duties</w:t>
      </w:r>
      <w:r w:rsidR="002B1AC3">
        <w:t xml:space="preserve"> to comply with the law</w:t>
      </w:r>
      <w:r w:rsidR="00622CE0">
        <w:t xml:space="preserve">.  </w:t>
      </w:r>
    </w:p>
    <w:p w:rsidR="00FD561F" w:rsidRDefault="007C4CDB" w:rsidP="00FD561F">
      <w:pPr>
        <w:ind w:firstLine="720"/>
      </w:pPr>
      <w:r>
        <w:t xml:space="preserve">Overall, </w:t>
      </w:r>
      <w:r w:rsidR="00535A65">
        <w:t xml:space="preserve">the evidence in </w:t>
      </w:r>
      <w:r w:rsidR="00CD0376">
        <w:t xml:space="preserve">aggravation </w:t>
      </w:r>
      <w:r w:rsidR="001839D3">
        <w:t xml:space="preserve">substantially </w:t>
      </w:r>
      <w:r w:rsidR="00CD0376">
        <w:t xml:space="preserve">outweighs </w:t>
      </w:r>
      <w:r w:rsidR="00535A65">
        <w:t xml:space="preserve">the </w:t>
      </w:r>
      <w:r w:rsidR="00CD0376">
        <w:t xml:space="preserve">limited mitigation evidence </w:t>
      </w:r>
      <w:r w:rsidR="002B7C37">
        <w:t>of</w:t>
      </w:r>
      <w:r w:rsidR="00CD0376">
        <w:t xml:space="preserve"> pro bono </w:t>
      </w:r>
      <w:r w:rsidR="002B1AC3">
        <w:t>work</w:t>
      </w:r>
      <w:r w:rsidR="00CD0376">
        <w:t>.</w:t>
      </w:r>
      <w:r w:rsidR="001839D3">
        <w:t xml:space="preserve"> </w:t>
      </w:r>
    </w:p>
    <w:p w:rsidR="00FD561F" w:rsidRDefault="00412DD7" w:rsidP="00FD561F">
      <w:pPr>
        <w:spacing w:line="240" w:lineRule="auto"/>
        <w:jc w:val="center"/>
        <w:rPr>
          <w:b/>
          <w:bCs/>
        </w:rPr>
      </w:pPr>
      <w:r w:rsidRPr="00E814DB">
        <w:rPr>
          <w:b/>
          <w:bCs/>
        </w:rPr>
        <w:t>V.  LEVEL OF DISCIPLINE</w:t>
      </w:r>
      <w:r w:rsidR="00072412">
        <w:rPr>
          <w:b/>
          <w:bCs/>
        </w:rPr>
        <w:t xml:space="preserve"> –</w:t>
      </w:r>
      <w:r w:rsidR="00FD561F">
        <w:rPr>
          <w:b/>
          <w:bCs/>
        </w:rPr>
        <w:t>DISBARMENT</w:t>
      </w:r>
    </w:p>
    <w:p w:rsidR="00412DD7" w:rsidRDefault="00E93F7C" w:rsidP="00FD561F">
      <w:pPr>
        <w:spacing w:line="240" w:lineRule="auto"/>
        <w:jc w:val="center"/>
        <w:rPr>
          <w:b/>
          <w:bCs/>
        </w:rPr>
      </w:pPr>
      <w:r>
        <w:rPr>
          <w:b/>
          <w:bCs/>
        </w:rPr>
        <w:t xml:space="preserve">UNDER </w:t>
      </w:r>
      <w:r w:rsidR="00072412">
        <w:rPr>
          <w:b/>
          <w:bCs/>
        </w:rPr>
        <w:t>STANDARD</w:t>
      </w:r>
      <w:r>
        <w:rPr>
          <w:b/>
          <w:bCs/>
        </w:rPr>
        <w:t>S 3.2 AND</w:t>
      </w:r>
      <w:r w:rsidR="00072412">
        <w:rPr>
          <w:b/>
          <w:bCs/>
        </w:rPr>
        <w:t xml:space="preserve"> 1.7(</w:t>
      </w:r>
      <w:r>
        <w:rPr>
          <w:b/>
          <w:bCs/>
        </w:rPr>
        <w:t>b</w:t>
      </w:r>
      <w:r w:rsidR="00072412">
        <w:rPr>
          <w:b/>
          <w:bCs/>
        </w:rPr>
        <w:t>)</w:t>
      </w:r>
    </w:p>
    <w:p w:rsidR="002B1AC3" w:rsidRPr="00E814DB" w:rsidRDefault="002B1AC3" w:rsidP="002B1AC3">
      <w:pPr>
        <w:spacing w:line="240" w:lineRule="auto"/>
        <w:ind w:firstLine="720"/>
        <w:jc w:val="center"/>
        <w:rPr>
          <w:b/>
          <w:bCs/>
        </w:rPr>
      </w:pPr>
    </w:p>
    <w:p w:rsidR="00412DD7" w:rsidRDefault="00412DD7" w:rsidP="00412DD7">
      <w:pPr>
        <w:pStyle w:val="Default"/>
        <w:spacing w:line="480" w:lineRule="auto"/>
      </w:pPr>
      <w:r w:rsidRPr="00E814DB">
        <w:tab/>
      </w:r>
      <w:r w:rsidRPr="006A1E92">
        <w:t xml:space="preserve">The purpose of attorney discipline is not to punish the attorney, but to protect the public, the courts and the legal profession, to </w:t>
      </w:r>
      <w:r w:rsidR="00535A65" w:rsidRPr="006A1E92">
        <w:t>maintain high standards for attorneys</w:t>
      </w:r>
      <w:r w:rsidR="00535A65">
        <w:t xml:space="preserve"> and to </w:t>
      </w:r>
      <w:r w:rsidRPr="006A1E92">
        <w:t xml:space="preserve">preserve public confidence in the profession. </w:t>
      </w:r>
      <w:r>
        <w:t xml:space="preserve"> </w:t>
      </w:r>
      <w:r w:rsidRPr="006A1E92">
        <w:t xml:space="preserve">(Std. 1.3.) </w:t>
      </w:r>
      <w:r>
        <w:t xml:space="preserve"> </w:t>
      </w:r>
      <w:r w:rsidRPr="006A1E92">
        <w:t>Ultimately, we balance all relevant factors, including mitigating and aggravating circumstances, on a case-by-case basis to ensure that discipline is consistent with its purpose.</w:t>
      </w:r>
      <w:r>
        <w:t xml:space="preserve"> </w:t>
      </w:r>
      <w:r w:rsidRPr="006A1E92">
        <w:t xml:space="preserve"> (</w:t>
      </w:r>
      <w:r w:rsidRPr="006A1E92">
        <w:rPr>
          <w:i/>
          <w:iCs/>
        </w:rPr>
        <w:t xml:space="preserve">In re Young </w:t>
      </w:r>
      <w:r w:rsidRPr="006A1E92">
        <w:t xml:space="preserve">(1989) 49 </w:t>
      </w:r>
      <w:proofErr w:type="spellStart"/>
      <w:r w:rsidRPr="006A1E92">
        <w:t>Cal.3</w:t>
      </w:r>
      <w:r>
        <w:t>d</w:t>
      </w:r>
      <w:proofErr w:type="spellEnd"/>
      <w:r w:rsidRPr="006A1E92">
        <w:t xml:space="preserve"> 257, 266.) </w:t>
      </w:r>
    </w:p>
    <w:p w:rsidR="00412DD7" w:rsidRDefault="00412DD7" w:rsidP="00412DD7">
      <w:pPr>
        <w:pStyle w:val="Default"/>
        <w:spacing w:line="480" w:lineRule="auto"/>
      </w:pPr>
      <w:r>
        <w:tab/>
      </w:r>
      <w:r w:rsidR="001839D3">
        <w:t xml:space="preserve">We begin our analysis </w:t>
      </w:r>
      <w:r w:rsidR="002B1AC3">
        <w:t>by looking to the standards</w:t>
      </w:r>
      <w:r w:rsidRPr="006A1E92">
        <w:t>.</w:t>
      </w:r>
      <w:r>
        <w:t xml:space="preserve">  </w:t>
      </w:r>
      <w:r w:rsidR="002B1AC3">
        <w:t>T</w:t>
      </w:r>
      <w:r w:rsidR="001839D3">
        <w:t xml:space="preserve">he Supreme Court has instructed us to give </w:t>
      </w:r>
      <w:r w:rsidR="00876D6E">
        <w:t xml:space="preserve">the standards </w:t>
      </w:r>
      <w:r w:rsidR="001839D3">
        <w:t>great weight and follow them “whenever possible</w:t>
      </w:r>
      <w:r w:rsidR="002B1AC3">
        <w:t>,</w:t>
      </w:r>
      <w:r w:rsidR="001839D3">
        <w:t xml:space="preserve">” </w:t>
      </w:r>
      <w:r w:rsidR="002B1AC3">
        <w:t xml:space="preserve">even though they are not mandatory.  </w:t>
      </w:r>
      <w:r w:rsidRPr="006A1E92">
        <w:t>(</w:t>
      </w:r>
      <w:r w:rsidRPr="006A1E92">
        <w:rPr>
          <w:i/>
          <w:iCs/>
        </w:rPr>
        <w:t xml:space="preserve">In re Young, supra, </w:t>
      </w:r>
      <w:r w:rsidR="00876D6E">
        <w:t xml:space="preserve">49 </w:t>
      </w:r>
      <w:proofErr w:type="spellStart"/>
      <w:r w:rsidR="00876D6E">
        <w:t>Cal.3d</w:t>
      </w:r>
      <w:proofErr w:type="spellEnd"/>
      <w:r w:rsidR="00876D6E">
        <w:t xml:space="preserve"> at p. 267, fn. 11.; see </w:t>
      </w:r>
      <w:r w:rsidRPr="006A1E92">
        <w:rPr>
          <w:i/>
          <w:iCs/>
        </w:rPr>
        <w:t>In re</w:t>
      </w:r>
      <w:r>
        <w:rPr>
          <w:i/>
          <w:iCs/>
        </w:rPr>
        <w:t xml:space="preserve"> </w:t>
      </w:r>
      <w:r w:rsidRPr="006A1E92">
        <w:rPr>
          <w:i/>
          <w:iCs/>
        </w:rPr>
        <w:t xml:space="preserve">Silverton </w:t>
      </w:r>
      <w:r w:rsidRPr="006A1E92">
        <w:t xml:space="preserve">(2005) 36 </w:t>
      </w:r>
      <w:proofErr w:type="spellStart"/>
      <w:r w:rsidRPr="006A1E92">
        <w:t>Cal.4th</w:t>
      </w:r>
      <w:proofErr w:type="spellEnd"/>
      <w:r w:rsidRPr="006A1E92">
        <w:t xml:space="preserve"> 81, 91</w:t>
      </w:r>
      <w:r w:rsidR="00876D6E">
        <w:t xml:space="preserve"> [</w:t>
      </w:r>
      <w:proofErr w:type="spellStart"/>
      <w:r w:rsidR="00876D6E">
        <w:t>st</w:t>
      </w:r>
      <w:r w:rsidR="00F7364F">
        <w:t>ds</w:t>
      </w:r>
      <w:proofErr w:type="spellEnd"/>
      <w:r w:rsidR="00F7364F">
        <w:t>.</w:t>
      </w:r>
      <w:r w:rsidR="00876D6E">
        <w:t xml:space="preserve"> promote “consistent and uniform appli</w:t>
      </w:r>
      <w:r w:rsidR="008F5C6E">
        <w:t>cation of disciplinary measures</w:t>
      </w:r>
      <w:r w:rsidR="00876D6E">
        <w:t>”</w:t>
      </w:r>
      <w:r w:rsidR="008F5C6E">
        <w:t>].</w:t>
      </w:r>
      <w:r w:rsidRPr="006A1E92">
        <w:t xml:space="preserve">) </w:t>
      </w:r>
      <w:r>
        <w:t xml:space="preserve"> </w:t>
      </w:r>
    </w:p>
    <w:p w:rsidR="00345D8F" w:rsidRDefault="00412DD7" w:rsidP="00772DFE">
      <w:r w:rsidRPr="00E814DB">
        <w:tab/>
      </w:r>
      <w:r w:rsidR="00A6547F">
        <w:t xml:space="preserve">Standards 3.2 and 1.7(b) </w:t>
      </w:r>
      <w:r w:rsidR="007C7EAF">
        <w:t xml:space="preserve">apply here </w:t>
      </w:r>
      <w:r w:rsidR="005A4F4C">
        <w:t xml:space="preserve">and the presumptive discipline </w:t>
      </w:r>
      <w:r w:rsidR="00F634BC">
        <w:t>for each</w:t>
      </w:r>
      <w:r w:rsidR="008146C8">
        <w:t xml:space="preserve"> is</w:t>
      </w:r>
      <w:r w:rsidR="005862D3">
        <w:t xml:space="preserve"> </w:t>
      </w:r>
      <w:r w:rsidR="00F634BC">
        <w:t>disbarment.</w:t>
      </w:r>
      <w:r w:rsidR="00622CE0">
        <w:t xml:space="preserve"> </w:t>
      </w:r>
      <w:r w:rsidR="00A6547F">
        <w:t xml:space="preserve"> </w:t>
      </w:r>
      <w:r w:rsidR="002061C1">
        <w:t xml:space="preserve">Standard 3.2 </w:t>
      </w:r>
      <w:r w:rsidR="004737F4">
        <w:t>instructs</w:t>
      </w:r>
      <w:r w:rsidR="007C7EAF">
        <w:t xml:space="preserve"> that an attorney who is convicted </w:t>
      </w:r>
      <w:r w:rsidR="002061C1">
        <w:t xml:space="preserve">of a crime of moral </w:t>
      </w:r>
    </w:p>
    <w:p w:rsidR="00772DFE" w:rsidRDefault="002061C1" w:rsidP="00772DFE">
      <w:r>
        <w:lastRenderedPageBreak/>
        <w:t xml:space="preserve">turpitude shall </w:t>
      </w:r>
      <w:r w:rsidR="007C7EAF">
        <w:t>be</w:t>
      </w:r>
      <w:r>
        <w:t xml:space="preserve"> disbar</w:t>
      </w:r>
      <w:r w:rsidR="007C7EAF">
        <w:t>red</w:t>
      </w:r>
      <w:r>
        <w:t xml:space="preserve"> unless the most compelling mitigating circumstances clearly predominate, in which case at least a two-year actual sus</w:t>
      </w:r>
      <w:r w:rsidR="00A6547F">
        <w:t>pension shall be imposed.  Likewise, s</w:t>
      </w:r>
      <w:r w:rsidR="00A21563">
        <w:t>tandard 1.7(b)</w:t>
      </w:r>
      <w:r w:rsidR="00A6547F">
        <w:t xml:space="preserve"> </w:t>
      </w:r>
      <w:r w:rsidR="00DD0C49">
        <w:t xml:space="preserve">provides </w:t>
      </w:r>
      <w:r w:rsidR="00876D6E">
        <w:t xml:space="preserve">for </w:t>
      </w:r>
      <w:r w:rsidR="007A5071">
        <w:t>disbarment where an attorney is culpable of professional misconduct and has a record of two prior discipline</w:t>
      </w:r>
      <w:r w:rsidR="00876D6E">
        <w:t>s</w:t>
      </w:r>
      <w:r w:rsidR="007A5071">
        <w:t xml:space="preserve">, unless the most compelling mitigating circumstances clearly predominate.  </w:t>
      </w:r>
      <w:r w:rsidR="003E7315">
        <w:t>B</w:t>
      </w:r>
      <w:r w:rsidR="00DD0C49">
        <w:t>oth standards call for Sullivan’s disbarment</w:t>
      </w:r>
      <w:r w:rsidR="003E7315">
        <w:t>.</w:t>
      </w:r>
      <w:r>
        <w:t xml:space="preserve"> </w:t>
      </w:r>
    </w:p>
    <w:p w:rsidR="005862D3" w:rsidRPr="00772DFE" w:rsidRDefault="00772DFE" w:rsidP="00772DFE">
      <w:pPr>
        <w:rPr>
          <w:b/>
        </w:rPr>
      </w:pPr>
      <w:r w:rsidRPr="00772DFE">
        <w:rPr>
          <w:b/>
        </w:rPr>
        <w:t>A.</w:t>
      </w:r>
      <w:r>
        <w:tab/>
      </w:r>
      <w:r w:rsidRPr="00772DFE">
        <w:rPr>
          <w:b/>
        </w:rPr>
        <w:t>SULLIVAN’S CRIMINAL CONVICTION UNDER STANDARD 3.2</w:t>
      </w:r>
    </w:p>
    <w:p w:rsidR="00AE0D4D" w:rsidRDefault="008146C8" w:rsidP="0069516F">
      <w:pPr>
        <w:ind w:firstLine="720"/>
      </w:pPr>
      <w:r>
        <w:t xml:space="preserve">Disbarment is appropriate </w:t>
      </w:r>
      <w:r w:rsidR="00B828AC">
        <w:t xml:space="preserve">under standard 3.2 </w:t>
      </w:r>
      <w:r>
        <w:t xml:space="preserve">because </w:t>
      </w:r>
      <w:r w:rsidR="006064DB">
        <w:t>Sullivan’s</w:t>
      </w:r>
      <w:r w:rsidR="006045D6">
        <w:t xml:space="preserve"> </w:t>
      </w:r>
      <w:r w:rsidR="006064DB">
        <w:t xml:space="preserve">conviction </w:t>
      </w:r>
      <w:r w:rsidR="006045D6">
        <w:t>for</w:t>
      </w:r>
      <w:r w:rsidR="006064DB">
        <w:t xml:space="preserve"> conspiracy to obst</w:t>
      </w:r>
      <w:r w:rsidR="000F63DB">
        <w:t xml:space="preserve">ruct justice is a serious offense </w:t>
      </w:r>
      <w:r w:rsidR="00BC2C76">
        <w:t>of</w:t>
      </w:r>
      <w:r w:rsidR="000F63DB">
        <w:t xml:space="preserve"> moral turpitude</w:t>
      </w:r>
      <w:r w:rsidR="007C7EAF">
        <w:t>,</w:t>
      </w:r>
      <w:r w:rsidR="00535A65">
        <w:t xml:space="preserve"> and </w:t>
      </w:r>
      <w:r w:rsidR="007C7EAF">
        <w:t xml:space="preserve">he </w:t>
      </w:r>
      <w:r w:rsidR="00876D6E">
        <w:t xml:space="preserve">did not </w:t>
      </w:r>
      <w:r w:rsidR="00FD561F">
        <w:t>prove</w:t>
      </w:r>
      <w:r w:rsidR="00876D6E">
        <w:t xml:space="preserve"> </w:t>
      </w:r>
      <w:r w:rsidR="00535A65">
        <w:t>compelling mitigation</w:t>
      </w:r>
      <w:r w:rsidR="006064DB">
        <w:t>.</w:t>
      </w:r>
      <w:r w:rsidR="00BE0B0F">
        <w:t xml:space="preserve"> </w:t>
      </w:r>
      <w:r w:rsidR="006064DB">
        <w:t xml:space="preserve"> (</w:t>
      </w:r>
      <w:r w:rsidR="00B828AC">
        <w:t>See</w:t>
      </w:r>
      <w:r w:rsidR="00535A65">
        <w:t xml:space="preserve"> </w:t>
      </w:r>
      <w:r w:rsidR="006064DB" w:rsidRPr="00154492">
        <w:rPr>
          <w:i/>
        </w:rPr>
        <w:t>In re Craig</w:t>
      </w:r>
      <w:r w:rsidR="006064DB">
        <w:rPr>
          <w:i/>
        </w:rPr>
        <w:t xml:space="preserve">, </w:t>
      </w:r>
      <w:r w:rsidR="006064DB" w:rsidRPr="006720AF">
        <w:rPr>
          <w:i/>
        </w:rPr>
        <w:t>supra</w:t>
      </w:r>
      <w:r w:rsidR="006064DB">
        <w:rPr>
          <w:i/>
        </w:rPr>
        <w:t>,</w:t>
      </w:r>
      <w:r w:rsidR="00FA7E14">
        <w:t xml:space="preserve"> 12 </w:t>
      </w:r>
      <w:proofErr w:type="spellStart"/>
      <w:r w:rsidR="00FA7E14">
        <w:t>Cal.2d</w:t>
      </w:r>
      <w:proofErr w:type="spellEnd"/>
      <w:r w:rsidR="00FA7E14">
        <w:t xml:space="preserve"> at p. 97;</w:t>
      </w:r>
      <w:r w:rsidR="000F63DB">
        <w:rPr>
          <w:i/>
        </w:rPr>
        <w:t xml:space="preserve"> </w:t>
      </w:r>
      <w:r w:rsidR="00FA7E14">
        <w:t xml:space="preserve">see also </w:t>
      </w:r>
      <w:r w:rsidR="0069516F">
        <w:rPr>
          <w:i/>
        </w:rPr>
        <w:t>In re Crooks</w:t>
      </w:r>
      <w:r w:rsidR="0069516F">
        <w:t xml:space="preserve"> (1990) 51 </w:t>
      </w:r>
      <w:proofErr w:type="spellStart"/>
      <w:r w:rsidR="0069516F">
        <w:t>Cal.3d</w:t>
      </w:r>
      <w:proofErr w:type="spellEnd"/>
      <w:r w:rsidR="0069516F">
        <w:t xml:space="preserve"> 1090, </w:t>
      </w:r>
      <w:r w:rsidR="000D20C7">
        <w:t>1101</w:t>
      </w:r>
      <w:r w:rsidR="000F63DB">
        <w:t xml:space="preserve"> [disbarment is rule rather than exception following conviction of serious crime </w:t>
      </w:r>
      <w:r w:rsidR="00BC2C76">
        <w:t>of</w:t>
      </w:r>
      <w:r w:rsidR="000F63DB">
        <w:t xml:space="preserve"> moral turpitude]</w:t>
      </w:r>
      <w:r w:rsidR="0069516F">
        <w:t>.)</w:t>
      </w:r>
      <w:r w:rsidR="00602F51">
        <w:t xml:space="preserve"> </w:t>
      </w:r>
      <w:r>
        <w:t xml:space="preserve"> </w:t>
      </w:r>
      <w:r w:rsidR="002B1AC3">
        <w:t>Further</w:t>
      </w:r>
      <w:r w:rsidR="00535A65">
        <w:t xml:space="preserve">, </w:t>
      </w:r>
      <w:r>
        <w:t xml:space="preserve">Sullivan’s actions </w:t>
      </w:r>
      <w:r w:rsidR="002B1AC3">
        <w:t xml:space="preserve">after </w:t>
      </w:r>
      <w:r w:rsidR="005862D3">
        <w:t>his conviction</w:t>
      </w:r>
      <w:r>
        <w:t xml:space="preserve"> </w:t>
      </w:r>
      <w:r w:rsidR="00B828AC">
        <w:t xml:space="preserve">cause great concern about </w:t>
      </w:r>
      <w:r w:rsidR="00911811">
        <w:t>his attitude toward</w:t>
      </w:r>
      <w:r w:rsidR="0013779B">
        <w:t xml:space="preserve"> his professional obligations</w:t>
      </w:r>
      <w:r w:rsidR="00911811">
        <w:t>,</w:t>
      </w:r>
      <w:r w:rsidR="0013779B">
        <w:t xml:space="preserve"> including his responsibilities to the State Bar.</w:t>
      </w:r>
      <w:r w:rsidR="00B828AC">
        <w:t xml:space="preserve">  </w:t>
      </w:r>
      <w:r w:rsidR="005A4F4C">
        <w:t>Sullivan’s conviction</w:t>
      </w:r>
      <w:r w:rsidR="0016447D">
        <w:t xml:space="preserve"> and </w:t>
      </w:r>
      <w:r w:rsidR="005A4F4C">
        <w:t>failure to report</w:t>
      </w:r>
      <w:r w:rsidR="0016447D">
        <w:t xml:space="preserve"> justif</w:t>
      </w:r>
      <w:r w:rsidR="002B1AC3">
        <w:t>y</w:t>
      </w:r>
      <w:r w:rsidR="0016447D">
        <w:t xml:space="preserve"> applying standard 3.2 which</w:t>
      </w:r>
      <w:r w:rsidR="00057AD7">
        <w:t xml:space="preserve">, standing alone, </w:t>
      </w:r>
      <w:r w:rsidR="005A4F4C">
        <w:t>merits his disbarment.</w:t>
      </w:r>
    </w:p>
    <w:p w:rsidR="005862D3" w:rsidRPr="00772DFE" w:rsidRDefault="0016447D" w:rsidP="0047041D">
      <w:pPr>
        <w:ind w:firstLine="720"/>
      </w:pPr>
      <w:r>
        <w:t xml:space="preserve">We </w:t>
      </w:r>
      <w:r w:rsidR="00537DDA">
        <w:t xml:space="preserve">do not agree with Sullivan’s contention that </w:t>
      </w:r>
      <w:r w:rsidR="007658AD">
        <w:t xml:space="preserve">his criminal conduct </w:t>
      </w:r>
      <w:r w:rsidR="00BC2C76">
        <w:t>was</w:t>
      </w:r>
      <w:r w:rsidR="0013779B">
        <w:t xml:space="preserve"> </w:t>
      </w:r>
      <w:r w:rsidR="000F63DB">
        <w:t>an isola</w:t>
      </w:r>
      <w:r w:rsidR="00DE430C">
        <w:t>ted incident of capping</w:t>
      </w:r>
      <w:r w:rsidR="00BC2C76">
        <w:t xml:space="preserve"> that does</w:t>
      </w:r>
      <w:r w:rsidR="0013779B">
        <w:t xml:space="preserve"> not warrant </w:t>
      </w:r>
      <w:r w:rsidR="000C0942">
        <w:t>disbarment</w:t>
      </w:r>
      <w:r w:rsidR="002F3E2F">
        <w:t xml:space="preserve">.  </w:t>
      </w:r>
      <w:r w:rsidR="00BC2C76">
        <w:t>I</w:t>
      </w:r>
      <w:r w:rsidR="0013779B">
        <w:t>f</w:t>
      </w:r>
      <w:r w:rsidR="008146C8">
        <w:t xml:space="preserve"> </w:t>
      </w:r>
      <w:r w:rsidR="007C7EAF">
        <w:t>his</w:t>
      </w:r>
      <w:r w:rsidR="007658AD">
        <w:t xml:space="preserve"> conviction marred an otherwise </w:t>
      </w:r>
      <w:r w:rsidR="00F75FD2">
        <w:t>discipline-free</w:t>
      </w:r>
      <w:r w:rsidR="007658AD">
        <w:t xml:space="preserve"> record</w:t>
      </w:r>
      <w:r>
        <w:t xml:space="preserve">, </w:t>
      </w:r>
      <w:r w:rsidR="002B1AC3">
        <w:t xml:space="preserve">we </w:t>
      </w:r>
      <w:r w:rsidR="00537DDA">
        <w:t>might</w:t>
      </w:r>
      <w:r w:rsidR="002B1AC3">
        <w:t xml:space="preserve"> not recommend disbarment</w:t>
      </w:r>
      <w:r w:rsidR="007658AD">
        <w:t>.</w:t>
      </w:r>
      <w:r w:rsidR="00F75FD2">
        <w:t xml:space="preserve"> </w:t>
      </w:r>
      <w:r w:rsidR="007658AD">
        <w:t xml:space="preserve"> (</w:t>
      </w:r>
      <w:r w:rsidR="007658AD">
        <w:rPr>
          <w:i/>
        </w:rPr>
        <w:t>In the Matter of Duxbury</w:t>
      </w:r>
      <w:r w:rsidR="00195F08">
        <w:rPr>
          <w:i/>
        </w:rPr>
        <w:t xml:space="preserve">, supra, </w:t>
      </w:r>
      <w:r w:rsidR="007658AD">
        <w:t xml:space="preserve">4 Cal. State Bar Ct. </w:t>
      </w:r>
      <w:proofErr w:type="spellStart"/>
      <w:r w:rsidR="007658AD">
        <w:t>Rptr</w:t>
      </w:r>
      <w:proofErr w:type="spellEnd"/>
      <w:r w:rsidR="007658AD">
        <w:t xml:space="preserve">. 61 [six-month actual suspension </w:t>
      </w:r>
      <w:r w:rsidR="00BC2C76">
        <w:t>for</w:t>
      </w:r>
      <w:r w:rsidR="007658AD">
        <w:t xml:space="preserve"> misdemeanor </w:t>
      </w:r>
      <w:r w:rsidR="00BC2C76">
        <w:t xml:space="preserve">capping </w:t>
      </w:r>
      <w:r w:rsidR="007658AD">
        <w:t xml:space="preserve">conviction </w:t>
      </w:r>
      <w:r w:rsidR="00BC2C76">
        <w:t>i</w:t>
      </w:r>
      <w:r w:rsidR="007658AD">
        <w:t xml:space="preserve">nvolving moral turpitude </w:t>
      </w:r>
      <w:r w:rsidR="00BC2C76">
        <w:t>and</w:t>
      </w:r>
      <w:r w:rsidR="007658AD">
        <w:t xml:space="preserve"> no pr</w:t>
      </w:r>
      <w:r w:rsidR="00BC2C76">
        <w:t>evious</w:t>
      </w:r>
      <w:r w:rsidR="007658AD">
        <w:t xml:space="preserve"> disciplin</w:t>
      </w:r>
      <w:r w:rsidR="00BC2C76">
        <w:t>e</w:t>
      </w:r>
      <w:r w:rsidR="007658AD">
        <w:t xml:space="preserve">].)  But </w:t>
      </w:r>
      <w:r w:rsidR="00684474">
        <w:t xml:space="preserve">Sullivan’s </w:t>
      </w:r>
      <w:r w:rsidR="00FC2C0D">
        <w:t>prior record</w:t>
      </w:r>
      <w:r w:rsidR="000C0942">
        <w:t xml:space="preserve"> </w:t>
      </w:r>
      <w:r w:rsidR="0013779B">
        <w:t>reveals</w:t>
      </w:r>
      <w:r w:rsidR="000C0942">
        <w:t xml:space="preserve"> that his present</w:t>
      </w:r>
      <w:r w:rsidR="00684474">
        <w:t xml:space="preserve"> </w:t>
      </w:r>
      <w:r w:rsidR="004A02AF">
        <w:t xml:space="preserve">misconduct </w:t>
      </w:r>
      <w:r w:rsidR="00A40F69">
        <w:t>is</w:t>
      </w:r>
      <w:r w:rsidR="004A02AF">
        <w:t xml:space="preserve"> not </w:t>
      </w:r>
      <w:r w:rsidR="006F225B">
        <w:t>a solitary</w:t>
      </w:r>
      <w:r w:rsidR="00A40F69">
        <w:t xml:space="preserve"> incident</w:t>
      </w:r>
      <w:r w:rsidR="000C0942">
        <w:t xml:space="preserve"> and </w:t>
      </w:r>
      <w:r w:rsidR="006F225B">
        <w:t>it</w:t>
      </w:r>
      <w:r w:rsidR="000C0942">
        <w:t xml:space="preserve"> triggers our analysis under standard 1.7(b).</w:t>
      </w:r>
      <w:r w:rsidR="005862D3" w:rsidRPr="005862D3">
        <w:rPr>
          <w:b/>
        </w:rPr>
        <w:t xml:space="preserve"> </w:t>
      </w:r>
      <w:r w:rsidR="00772DFE">
        <w:rPr>
          <w:b/>
        </w:rPr>
        <w:t>B.</w:t>
      </w:r>
      <w:r w:rsidR="00772DFE">
        <w:rPr>
          <w:b/>
        </w:rPr>
        <w:tab/>
      </w:r>
      <w:r w:rsidR="00772DFE" w:rsidRPr="005862D3">
        <w:rPr>
          <w:b/>
        </w:rPr>
        <w:t xml:space="preserve">SULLIVAN’S </w:t>
      </w:r>
      <w:r w:rsidR="00772DFE">
        <w:rPr>
          <w:b/>
        </w:rPr>
        <w:t>P</w:t>
      </w:r>
      <w:r w:rsidR="00772DFE" w:rsidRPr="005862D3">
        <w:rPr>
          <w:b/>
        </w:rPr>
        <w:t xml:space="preserve">RIOR </w:t>
      </w:r>
      <w:r w:rsidR="00772DFE">
        <w:rPr>
          <w:b/>
        </w:rPr>
        <w:t>DISCIPLINE R</w:t>
      </w:r>
      <w:r w:rsidR="00772DFE" w:rsidRPr="005862D3">
        <w:rPr>
          <w:b/>
        </w:rPr>
        <w:t xml:space="preserve">ECORD </w:t>
      </w:r>
      <w:r w:rsidR="00772DFE">
        <w:rPr>
          <w:b/>
        </w:rPr>
        <w:t>UNDER STANDARD</w:t>
      </w:r>
      <w:r w:rsidR="00772DFE" w:rsidRPr="005862D3">
        <w:rPr>
          <w:b/>
        </w:rPr>
        <w:t xml:space="preserve"> 1.7(B)</w:t>
      </w:r>
    </w:p>
    <w:p w:rsidR="007E0C8C" w:rsidRPr="007E0C8C" w:rsidRDefault="007E0C8C" w:rsidP="007E0C8C">
      <w:pPr>
        <w:ind w:firstLine="720"/>
      </w:pPr>
      <w:r w:rsidRPr="007E0C8C">
        <w:t xml:space="preserve">Sullivan should be disbarred under standard 1.7(b).  He has three prior records of discipline, and his pro bono work, while commendable, does not establish mitigation compelling enough to preponderate over the strong aggravation evidence.  </w:t>
      </w:r>
      <w:r w:rsidR="002B7C37">
        <w:t xml:space="preserve">Even if Sullivan’s first two </w:t>
      </w:r>
      <w:r w:rsidR="002B7C37">
        <w:lastRenderedPageBreak/>
        <w:t>discipline cases were consolidated because the misconduct occurred during the same time period, standard 1.7(b) still applies because the criminal conviction before us would then be his third discipline.</w:t>
      </w:r>
      <w:r w:rsidRPr="007E0C8C">
        <w:t xml:space="preserve">   </w:t>
      </w:r>
    </w:p>
    <w:p w:rsidR="007E0C8C" w:rsidRPr="009979AF" w:rsidRDefault="007E0C8C" w:rsidP="007E0C8C">
      <w:pPr>
        <w:ind w:firstLine="720"/>
      </w:pPr>
      <w:r w:rsidRPr="007E0C8C">
        <w:t xml:space="preserve">Sullivan contends that we should not apply standard 1.7(b) unless all of his discipline records demonstrate a “common thread” or “repeated finding of culpability of the same offense.”  We reject this contention.  Such patterns of misconduct are not </w:t>
      </w:r>
      <w:r w:rsidRPr="007E0C8C">
        <w:rPr>
          <w:i/>
          <w:iCs/>
        </w:rPr>
        <w:t>requirements</w:t>
      </w:r>
      <w:r w:rsidRPr="007E0C8C">
        <w:t xml:space="preserve"> for disbarment under standard 1.7(b), but are simply possible issues to consider.  In fact, the Supreme Court has considered several factors other than </w:t>
      </w:r>
      <w:r w:rsidR="002B7C37">
        <w:t xml:space="preserve">a </w:t>
      </w:r>
      <w:r w:rsidRPr="007E0C8C">
        <w:t xml:space="preserve">pattern of misconduct in deciding whether to apply standard 1.7(b).  (See, e.g., </w:t>
      </w:r>
      <w:r w:rsidRPr="007E0C8C">
        <w:rPr>
          <w:i/>
          <w:iCs/>
        </w:rPr>
        <w:t>Morgan v. State Bar</w:t>
      </w:r>
      <w:r w:rsidRPr="007E0C8C">
        <w:t xml:space="preserve"> </w:t>
      </w:r>
      <w:r w:rsidR="009979AF">
        <w:t xml:space="preserve">(1990) 51 </w:t>
      </w:r>
      <w:proofErr w:type="spellStart"/>
      <w:r w:rsidR="009979AF">
        <w:t>Cal.3d</w:t>
      </w:r>
      <w:proofErr w:type="spellEnd"/>
      <w:r w:rsidR="009979AF">
        <w:t xml:space="preserve"> 598, 607 </w:t>
      </w:r>
      <w:r w:rsidRPr="007E0C8C">
        <w:t xml:space="preserve">[pattern of misconduct, indifference to disciplinary orders and no compelling mitigation considered in applying std. 1.7(b)]; </w:t>
      </w:r>
      <w:r w:rsidRPr="007E0C8C">
        <w:rPr>
          <w:i/>
          <w:iCs/>
        </w:rPr>
        <w:t>Morales v. State Bar</w:t>
      </w:r>
      <w:r w:rsidRPr="007E0C8C">
        <w:t xml:space="preserve"> (1988) 44 </w:t>
      </w:r>
      <w:proofErr w:type="spellStart"/>
      <w:r w:rsidRPr="007E0C8C">
        <w:t>Cal.3d</w:t>
      </w:r>
      <w:proofErr w:type="spellEnd"/>
      <w:r w:rsidRPr="007E0C8C">
        <w:t xml:space="preserve"> 1037, 1048 [lack of remorse and no compelling mitigation consid</w:t>
      </w:r>
      <w:r w:rsidR="009979AF">
        <w:t>ered in applying std. 1.7(b)].)</w:t>
      </w:r>
    </w:p>
    <w:p w:rsidR="007E0C8C" w:rsidRPr="007E0C8C" w:rsidRDefault="007E0C8C" w:rsidP="007E0C8C">
      <w:pPr>
        <w:ind w:firstLine="720"/>
      </w:pPr>
      <w:r w:rsidRPr="007E0C8C">
        <w:t>As the standard provides, the critical issue is whether compelling mitigating circumstances clearly predominate to warrant an exception to the severe penalty of disbarment.  (</w:t>
      </w:r>
      <w:r w:rsidRPr="009979AF">
        <w:rPr>
          <w:iCs/>
        </w:rPr>
        <w:t>See</w:t>
      </w:r>
      <w:r w:rsidRPr="007E0C8C">
        <w:rPr>
          <w:i/>
          <w:iCs/>
        </w:rPr>
        <w:t xml:space="preserve"> Barnum v. State Bar</w:t>
      </w:r>
      <w:r w:rsidRPr="007E0C8C">
        <w:t xml:space="preserve"> (1990) 52 </w:t>
      </w:r>
      <w:proofErr w:type="spellStart"/>
      <w:r w:rsidRPr="007E0C8C">
        <w:t>Cal.3d</w:t>
      </w:r>
      <w:proofErr w:type="spellEnd"/>
      <w:r w:rsidRPr="007E0C8C">
        <w:t xml:space="preserve"> 104</w:t>
      </w:r>
      <w:r w:rsidR="009979AF">
        <w:t>, 113</w:t>
      </w:r>
      <w:r w:rsidRPr="007E0C8C">
        <w:t xml:space="preserve"> [disbarment under std. 1.7(b) imposed where no </w:t>
      </w:r>
      <w:r w:rsidR="009979AF">
        <w:t>compelling mitigation]; compare</w:t>
      </w:r>
      <w:r w:rsidRPr="007E0C8C">
        <w:t xml:space="preserve"> </w:t>
      </w:r>
      <w:r w:rsidRPr="007E0C8C">
        <w:rPr>
          <w:i/>
          <w:iCs/>
        </w:rPr>
        <w:t>Arm v. State Bar</w:t>
      </w:r>
      <w:r w:rsidRPr="007E0C8C">
        <w:t xml:space="preserve"> (1990) 50 Cal. </w:t>
      </w:r>
      <w:proofErr w:type="spellStart"/>
      <w:r w:rsidRPr="007E0C8C">
        <w:t>3d</w:t>
      </w:r>
      <w:proofErr w:type="spellEnd"/>
      <w:r w:rsidRPr="007E0C8C">
        <w:t xml:space="preserve"> 763, 778-779, 781 [disbarment under std. 1.7(b) not imposed where compelling mitigation included lack of harm and no bad faith].)  Yet even where compelling </w:t>
      </w:r>
      <w:r w:rsidR="00C80299">
        <w:t>mitigation is</w:t>
      </w:r>
      <w:r w:rsidRPr="007E0C8C">
        <w:t xml:space="preserve"> absent, the Supreme Court has not always ordered disbarment.  (</w:t>
      </w:r>
      <w:r w:rsidRPr="007E0C8C">
        <w:rPr>
          <w:i/>
          <w:iCs/>
        </w:rPr>
        <w:t xml:space="preserve">Conroy v. State Bar </w:t>
      </w:r>
      <w:r w:rsidRPr="007E0C8C">
        <w:t xml:space="preserve">(1991) 53 </w:t>
      </w:r>
      <w:proofErr w:type="spellStart"/>
      <w:r w:rsidRPr="007E0C8C">
        <w:t>Cal.3d</w:t>
      </w:r>
      <w:proofErr w:type="spellEnd"/>
      <w:r w:rsidRPr="007E0C8C">
        <w:t xml:space="preserve"> 495</w:t>
      </w:r>
      <w:r w:rsidR="009979AF">
        <w:t>, 506-508</w:t>
      </w:r>
      <w:r w:rsidRPr="007E0C8C">
        <w:t xml:space="preserve"> [one-year actual suspension even though no compelling mitigation in std. 1.7(b) case].)  Instead, the Supreme Court considers all relevant facts and circumstances of a case to determine the discipline to impose. (</w:t>
      </w:r>
      <w:r w:rsidR="00C80299">
        <w:t xml:space="preserve">See </w:t>
      </w:r>
      <w:r w:rsidRPr="007E0C8C">
        <w:rPr>
          <w:i/>
          <w:iCs/>
        </w:rPr>
        <w:t>In re Young</w:t>
      </w:r>
      <w:r w:rsidR="009979AF">
        <w:rPr>
          <w:i/>
          <w:iCs/>
        </w:rPr>
        <w:t>, supra,</w:t>
      </w:r>
      <w:r w:rsidRPr="007E0C8C">
        <w:t xml:space="preserve"> 49 </w:t>
      </w:r>
      <w:proofErr w:type="spellStart"/>
      <w:r w:rsidRPr="007E0C8C">
        <w:t>Cal.3d</w:t>
      </w:r>
      <w:proofErr w:type="spellEnd"/>
      <w:r w:rsidRPr="007E0C8C">
        <w:t xml:space="preserve"> </w:t>
      </w:r>
      <w:r w:rsidR="009979AF">
        <w:t xml:space="preserve">at p. </w:t>
      </w:r>
      <w:r w:rsidRPr="007E0C8C">
        <w:t>267, fn 11 [</w:t>
      </w:r>
      <w:proofErr w:type="spellStart"/>
      <w:r w:rsidRPr="007E0C8C">
        <w:t>stds</w:t>
      </w:r>
      <w:proofErr w:type="spellEnd"/>
      <w:r w:rsidRPr="007E0C8C">
        <w:t>. not required to be strictly followed in every case</w:t>
      </w:r>
      <w:r w:rsidR="009979AF">
        <w:t>]</w:t>
      </w:r>
      <w:r w:rsidRPr="007E0C8C">
        <w:t>.)  Guided by these considerations, we examine the nature and chronology of prior discipline records in standard 1.7(b) cases, recognizing that “[m]</w:t>
      </w:r>
      <w:proofErr w:type="spellStart"/>
      <w:r w:rsidRPr="007E0C8C">
        <w:t>erely</w:t>
      </w:r>
      <w:proofErr w:type="spellEnd"/>
      <w:r w:rsidRPr="007E0C8C">
        <w:t xml:space="preserve"> </w:t>
      </w:r>
      <w:r w:rsidRPr="007E0C8C">
        <w:lastRenderedPageBreak/>
        <w:t>declaring that an attorney has [two prior] impositions of discipline</w:t>
      </w:r>
      <w:r w:rsidR="009979AF">
        <w:t>,</w:t>
      </w:r>
      <w:r w:rsidRPr="007E0C8C">
        <w:t xml:space="preserve"> without more analysis, may not adequately justify disbarment in every case.”  (</w:t>
      </w:r>
      <w:r w:rsidRPr="007E0C8C">
        <w:rPr>
          <w:i/>
          <w:iCs/>
        </w:rPr>
        <w:t xml:space="preserve">In the Matter of Miller </w:t>
      </w:r>
      <w:r w:rsidRPr="007E0C8C">
        <w:t xml:space="preserve">(Review Dept. 1990) 1 Cal. State Bar Ct. </w:t>
      </w:r>
      <w:proofErr w:type="spellStart"/>
      <w:r w:rsidRPr="007E0C8C">
        <w:t>Rptr</w:t>
      </w:r>
      <w:proofErr w:type="spellEnd"/>
      <w:r w:rsidRPr="007E0C8C">
        <w:t xml:space="preserve">. 131, 136.) </w:t>
      </w:r>
    </w:p>
    <w:p w:rsidR="007E0C8C" w:rsidRDefault="007E0C8C" w:rsidP="007E0C8C">
      <w:pPr>
        <w:ind w:firstLine="720"/>
      </w:pPr>
      <w:r w:rsidRPr="007E0C8C">
        <w:t>In view of the factors unique to this case, disbarment is warranted and necessary to protect the public, the courts and the legal profession.  Sullivan did not present compelling mitigation and has failed to meet his professional obligations for over two decades in four disciplinary cases.  In his first three cases, he performed incompetently and in the present case, although it occurred between his first and second discipline, he was convicted of a crime of moral turpitude that he never reported.  Overall, Sullivan has demonstrated “pervasive carelessness” toward his practice and compliance with ethical rules since 1988.  (</w:t>
      </w:r>
      <w:proofErr w:type="spellStart"/>
      <w:r w:rsidRPr="007E0C8C">
        <w:rPr>
          <w:i/>
          <w:iCs/>
        </w:rPr>
        <w:t>Palomo</w:t>
      </w:r>
      <w:proofErr w:type="spellEnd"/>
      <w:r w:rsidRPr="007E0C8C">
        <w:rPr>
          <w:i/>
          <w:iCs/>
        </w:rPr>
        <w:t xml:space="preserve"> v. State Bar</w:t>
      </w:r>
      <w:r w:rsidRPr="007E0C8C">
        <w:t xml:space="preserve"> (1984) 36 </w:t>
      </w:r>
      <w:proofErr w:type="spellStart"/>
      <w:r w:rsidRPr="007E0C8C">
        <w:t>Cal.3d</w:t>
      </w:r>
      <w:proofErr w:type="spellEnd"/>
      <w:r w:rsidRPr="007E0C8C">
        <w:t xml:space="preserve"> 785, 796).  Consequently, it appears that he is either “unwilling or unable” to conform his behavior to the rules of professional conduct.  (</w:t>
      </w:r>
      <w:r w:rsidRPr="007E0C8C">
        <w:rPr>
          <w:i/>
          <w:iCs/>
        </w:rPr>
        <w:t>Barnum v. State Bar, supra,</w:t>
      </w:r>
      <w:r w:rsidRPr="007E0C8C">
        <w:t xml:space="preserve"> 52 </w:t>
      </w:r>
      <w:proofErr w:type="spellStart"/>
      <w:r w:rsidRPr="007E0C8C">
        <w:t>Cal.3d</w:t>
      </w:r>
      <w:proofErr w:type="spellEnd"/>
      <w:r w:rsidRPr="007E0C8C">
        <w:t xml:space="preserve"> at p. 111.)  Under both standards 3.2 and 1.7(b), we recommend that Sullivan be disbarred.</w:t>
      </w:r>
      <w:r w:rsidRPr="007E0C8C">
        <w:rPr>
          <w:rStyle w:val="FootnoteReference"/>
        </w:rPr>
        <w:t xml:space="preserve"> </w:t>
      </w:r>
    </w:p>
    <w:p w:rsidR="008B501E" w:rsidRPr="00E814DB" w:rsidRDefault="00D533A3" w:rsidP="008B501E">
      <w:pPr>
        <w:jc w:val="center"/>
        <w:rPr>
          <w:b/>
          <w:bCs/>
        </w:rPr>
      </w:pPr>
      <w:r>
        <w:rPr>
          <w:b/>
        </w:rPr>
        <w:t xml:space="preserve">VI.  </w:t>
      </w:r>
      <w:r w:rsidR="00105BD5" w:rsidRPr="00D533A3">
        <w:rPr>
          <w:b/>
        </w:rPr>
        <w:t>RECOMMENDATION</w:t>
      </w:r>
    </w:p>
    <w:p w:rsidR="00345D8F" w:rsidRDefault="008B7CC5">
      <w:pPr>
        <w:ind w:firstLine="720"/>
      </w:pPr>
      <w:r>
        <w:t xml:space="preserve">We </w:t>
      </w:r>
      <w:r w:rsidR="00DB5502">
        <w:t xml:space="preserve">recommend that Harold Vincent Sullivan II be disbarred </w:t>
      </w:r>
      <w:r w:rsidR="00345D8F">
        <w:t xml:space="preserve">from the practice of law in California </w:t>
      </w:r>
      <w:r w:rsidR="00DB5502">
        <w:t xml:space="preserve">and </w:t>
      </w:r>
      <w:r w:rsidR="00D533A3">
        <w:t xml:space="preserve">that </w:t>
      </w:r>
      <w:r w:rsidR="00DB5502">
        <w:t>his name be stricken from the roll of attorneys.</w:t>
      </w:r>
      <w:r w:rsidR="00A40F69">
        <w:t xml:space="preserve"> </w:t>
      </w:r>
      <w:r w:rsidR="00DB5502">
        <w:t xml:space="preserve"> </w:t>
      </w:r>
    </w:p>
    <w:p w:rsidR="00731AAC" w:rsidRDefault="00DB5502">
      <w:pPr>
        <w:ind w:firstLine="720"/>
      </w:pPr>
      <w:r>
        <w:t>We further recommend that</w:t>
      </w:r>
      <w:r w:rsidR="00D533A3">
        <w:t xml:space="preserve"> he</w:t>
      </w:r>
      <w:r>
        <w:t xml:space="preserve"> be required to comply with </w:t>
      </w:r>
      <w:r w:rsidR="00345D8F">
        <w:t xml:space="preserve">the provisions of </w:t>
      </w:r>
      <w:r w:rsidR="00D533A3">
        <w:t>r</w:t>
      </w:r>
      <w:r>
        <w:t>ule 9.20 of the California Rules of Court and to perform the acts specified in subdi</w:t>
      </w:r>
      <w:r w:rsidR="00345D8F">
        <w:t>vision (a) and (c) of that rule</w:t>
      </w:r>
      <w:r>
        <w:t xml:space="preserve"> within 30 and 40 calendar days, respectively, after the effective date of the Supreme Court</w:t>
      </w:r>
      <w:r w:rsidR="00345D8F">
        <w:t>’s ord</w:t>
      </w:r>
      <w:r>
        <w:t xml:space="preserve">er </w:t>
      </w:r>
      <w:r w:rsidR="00345D8F">
        <w:t>in this case</w:t>
      </w:r>
      <w:r>
        <w:t xml:space="preserve">.  </w:t>
      </w:r>
    </w:p>
    <w:p w:rsidR="00731AAC" w:rsidRDefault="00D76B3B">
      <w:pPr>
        <w:ind w:firstLine="720"/>
      </w:pPr>
      <w:r>
        <w:t xml:space="preserve">We </w:t>
      </w:r>
      <w:r w:rsidR="00DB5502">
        <w:t xml:space="preserve">further recommend that costs be awarded to the State Bar </w:t>
      </w:r>
      <w:r w:rsidR="00345D8F">
        <w:t>pursuant to</w:t>
      </w:r>
      <w:r w:rsidR="00DB5502">
        <w:t xml:space="preserve"> Business and Professions Code section 6086.10, </w:t>
      </w:r>
      <w:r w:rsidR="00345D8F">
        <w:t xml:space="preserve">and </w:t>
      </w:r>
      <w:r w:rsidR="00DB5502">
        <w:t xml:space="preserve">such costs </w:t>
      </w:r>
      <w:r w:rsidR="00345D8F">
        <w:t>are</w:t>
      </w:r>
      <w:r w:rsidR="00DB5502">
        <w:t xml:space="preserve"> enforceable both as provided in Business and Professions Code section 6140.7 and as a money judgment.  </w:t>
      </w:r>
    </w:p>
    <w:p w:rsidR="00260E02" w:rsidRPr="00260E02" w:rsidRDefault="00260E02" w:rsidP="00260E02">
      <w:pPr>
        <w:jc w:val="center"/>
        <w:rPr>
          <w:b/>
        </w:rPr>
      </w:pPr>
      <w:r>
        <w:rPr>
          <w:b/>
        </w:rPr>
        <w:lastRenderedPageBreak/>
        <w:t>VII.  ORDER</w:t>
      </w:r>
    </w:p>
    <w:p w:rsidR="007E0C8C" w:rsidRDefault="00A7645E" w:rsidP="00C11CC8">
      <w:r>
        <w:tab/>
        <w:t xml:space="preserve">The </w:t>
      </w:r>
      <w:r w:rsidR="00345D8F">
        <w:t xml:space="preserve">hearing judge’s </w:t>
      </w:r>
      <w:r>
        <w:t xml:space="preserve">order that Harold Vincent Sullivan be enrolled </w:t>
      </w:r>
      <w:r w:rsidR="00345D8F">
        <w:t xml:space="preserve">as an </w:t>
      </w:r>
      <w:r>
        <w:t>inactive</w:t>
      </w:r>
      <w:r w:rsidR="00345D8F">
        <w:t xml:space="preserve"> member of the State Bar</w:t>
      </w:r>
      <w:r>
        <w:t xml:space="preserve"> under Business and Professions Code section 6007, subdivision (c)(4), shall continue</w:t>
      </w:r>
      <w:r w:rsidR="00345D8F">
        <w:t xml:space="preserve"> in effect,</w:t>
      </w:r>
      <w:r>
        <w:t xml:space="preserve"> pending the</w:t>
      </w:r>
      <w:r w:rsidR="00345D8F">
        <w:t xml:space="preserve"> Supreme Court’s</w:t>
      </w:r>
      <w:r>
        <w:t xml:space="preserve"> decision </w:t>
      </w:r>
      <w:r w:rsidR="00345D8F">
        <w:t>in this case</w:t>
      </w:r>
      <w:r>
        <w:t>.</w:t>
      </w:r>
    </w:p>
    <w:p w:rsidR="000A21FD" w:rsidRDefault="007768C9" w:rsidP="00C11CC8">
      <w:r w:rsidRPr="007768C9">
        <w:tab/>
      </w:r>
      <w:r w:rsidRPr="007768C9">
        <w:tab/>
      </w:r>
      <w:r w:rsidRPr="007768C9">
        <w:tab/>
      </w:r>
      <w:r w:rsidRPr="007768C9">
        <w:tab/>
      </w:r>
      <w:r w:rsidRPr="007768C9">
        <w:tab/>
      </w:r>
      <w:r w:rsidRPr="007768C9">
        <w:tab/>
      </w:r>
      <w:r w:rsidRPr="007768C9">
        <w:tab/>
      </w:r>
      <w:bookmarkStart w:id="5" w:name="judge"/>
      <w:bookmarkEnd w:id="5"/>
      <w:r w:rsidR="00A570FB">
        <w:t>PURCELL, J.</w:t>
      </w:r>
    </w:p>
    <w:p w:rsidR="000A21FD" w:rsidRDefault="000A21FD" w:rsidP="00C11CC8">
      <w:r>
        <w:t>We concur:</w:t>
      </w:r>
    </w:p>
    <w:p w:rsidR="00B07AB6" w:rsidRDefault="00B07AB6" w:rsidP="00C11CC8">
      <w:r>
        <w:t>REMKE, P.</w:t>
      </w:r>
      <w:r w:rsidR="00D533A3">
        <w:t xml:space="preserve"> </w:t>
      </w:r>
      <w:r>
        <w:t>J.</w:t>
      </w:r>
    </w:p>
    <w:p w:rsidR="000A21FD" w:rsidRDefault="00B07AB6" w:rsidP="00C11CC8">
      <w:r>
        <w:t>EPSTEIN, J.</w:t>
      </w:r>
    </w:p>
    <w:p w:rsidR="00837644" w:rsidRDefault="00837644">
      <w:pPr>
        <w:spacing w:after="200" w:line="276" w:lineRule="auto"/>
      </w:pPr>
      <w:r>
        <w:br w:type="page"/>
      </w:r>
    </w:p>
    <w:p w:rsidR="00837644" w:rsidRPr="00837644" w:rsidRDefault="00837644" w:rsidP="00837644">
      <w:pPr>
        <w:rPr>
          <w:b/>
          <w:bCs/>
        </w:rPr>
      </w:pPr>
    </w:p>
    <w:p w:rsidR="00837644" w:rsidRPr="00837644" w:rsidRDefault="00837644" w:rsidP="00837644">
      <w:pPr>
        <w:jc w:val="center"/>
        <w:rPr>
          <w:b/>
          <w:bCs/>
        </w:rPr>
      </w:pPr>
      <w:r w:rsidRPr="00837644">
        <w:rPr>
          <w:b/>
          <w:bCs/>
        </w:rPr>
        <w:t>Case No. 08-C-12029</w:t>
      </w:r>
    </w:p>
    <w:p w:rsidR="00837644" w:rsidRPr="00837644" w:rsidRDefault="00837644" w:rsidP="00837644">
      <w:pPr>
        <w:jc w:val="center"/>
      </w:pPr>
    </w:p>
    <w:p w:rsidR="00837644" w:rsidRPr="00837644" w:rsidRDefault="00837644" w:rsidP="00837644">
      <w:pPr>
        <w:jc w:val="center"/>
        <w:rPr>
          <w:b/>
          <w:bCs/>
          <w:i/>
          <w:iCs/>
        </w:rPr>
      </w:pPr>
    </w:p>
    <w:p w:rsidR="00837644" w:rsidRPr="00837644" w:rsidRDefault="00837644" w:rsidP="00837644">
      <w:pPr>
        <w:jc w:val="center"/>
        <w:rPr>
          <w:b/>
          <w:bCs/>
          <w:i/>
          <w:iCs/>
        </w:rPr>
      </w:pPr>
      <w:r w:rsidRPr="00837644">
        <w:rPr>
          <w:b/>
          <w:bCs/>
          <w:i/>
          <w:iCs/>
        </w:rPr>
        <w:t>In the Matter of</w:t>
      </w:r>
    </w:p>
    <w:p w:rsidR="00837644" w:rsidRPr="00837644" w:rsidRDefault="00837644" w:rsidP="00837644">
      <w:pPr>
        <w:jc w:val="center"/>
      </w:pPr>
      <w:r w:rsidRPr="00837644">
        <w:rPr>
          <w:b/>
          <w:bCs/>
        </w:rPr>
        <w:t>HAROLD VINCENT SULLIVAN II</w:t>
      </w:r>
    </w:p>
    <w:p w:rsidR="00837644" w:rsidRPr="00837644" w:rsidRDefault="00837644" w:rsidP="00837644">
      <w:pPr>
        <w:jc w:val="center"/>
      </w:pPr>
    </w:p>
    <w:p w:rsidR="00837644" w:rsidRPr="00837644" w:rsidRDefault="00837644" w:rsidP="00837644">
      <w:pPr>
        <w:jc w:val="center"/>
      </w:pPr>
    </w:p>
    <w:p w:rsidR="00837644" w:rsidRPr="00837644" w:rsidRDefault="00837644" w:rsidP="00837644">
      <w:pPr>
        <w:jc w:val="center"/>
      </w:pPr>
    </w:p>
    <w:p w:rsidR="00837644" w:rsidRPr="00837644" w:rsidRDefault="00837644" w:rsidP="00837644">
      <w:pPr>
        <w:jc w:val="center"/>
        <w:rPr>
          <w:i/>
          <w:iCs/>
        </w:rPr>
      </w:pPr>
      <w:r w:rsidRPr="00837644">
        <w:rPr>
          <w:i/>
          <w:iCs/>
        </w:rPr>
        <w:t>Hearing Judge</w:t>
      </w:r>
    </w:p>
    <w:p w:rsidR="00837644" w:rsidRPr="00837644" w:rsidRDefault="00837644" w:rsidP="00837644">
      <w:pPr>
        <w:jc w:val="center"/>
      </w:pPr>
      <w:r w:rsidRPr="00837644">
        <w:rPr>
          <w:b/>
          <w:bCs/>
        </w:rPr>
        <w:t>Hon. Richard A. Honn</w:t>
      </w:r>
    </w:p>
    <w:p w:rsidR="00837644" w:rsidRPr="00837644" w:rsidRDefault="00837644" w:rsidP="00837644">
      <w:pPr>
        <w:jc w:val="center"/>
      </w:pPr>
    </w:p>
    <w:p w:rsidR="00837644" w:rsidRDefault="00837644" w:rsidP="00837644"/>
    <w:p w:rsidR="00837644" w:rsidRPr="00837644" w:rsidRDefault="00837644" w:rsidP="00837644"/>
    <w:p w:rsidR="00837644" w:rsidRPr="00837644" w:rsidRDefault="00837644" w:rsidP="00837644"/>
    <w:p w:rsidR="00837644" w:rsidRPr="00837644" w:rsidRDefault="00837644" w:rsidP="00837644">
      <w:pPr>
        <w:jc w:val="center"/>
        <w:rPr>
          <w:b/>
          <w:bCs/>
          <w:i/>
          <w:iCs/>
        </w:rPr>
      </w:pPr>
      <w:r w:rsidRPr="00837644">
        <w:rPr>
          <w:i/>
          <w:iCs/>
        </w:rPr>
        <w:t>Counsel for the Parties</w:t>
      </w:r>
    </w:p>
    <w:tbl>
      <w:tblPr>
        <w:tblW w:w="0" w:type="auto"/>
        <w:tblInd w:w="100" w:type="dxa"/>
        <w:tblLayout w:type="fixed"/>
        <w:tblCellMar>
          <w:left w:w="100" w:type="dxa"/>
          <w:right w:w="100" w:type="dxa"/>
        </w:tblCellMar>
        <w:tblLook w:val="0000"/>
      </w:tblPr>
      <w:tblGrid>
        <w:gridCol w:w="5310"/>
        <w:gridCol w:w="4140"/>
      </w:tblGrid>
      <w:tr w:rsidR="00837644" w:rsidRPr="00837644" w:rsidTr="0034549D">
        <w:trPr>
          <w:cantSplit/>
        </w:trPr>
        <w:tc>
          <w:tcPr>
            <w:tcW w:w="5310" w:type="dxa"/>
          </w:tcPr>
          <w:p w:rsidR="00837644" w:rsidRPr="00837644" w:rsidRDefault="00837644" w:rsidP="00837644">
            <w:pPr>
              <w:spacing w:line="240" w:lineRule="auto"/>
            </w:pPr>
            <w:r w:rsidRPr="00837644">
              <w:rPr>
                <w:b/>
                <w:bCs/>
              </w:rPr>
              <w:tab/>
            </w:r>
            <w:r w:rsidRPr="00837644">
              <w:t>For State Bar of California:</w:t>
            </w:r>
          </w:p>
        </w:tc>
        <w:tc>
          <w:tcPr>
            <w:tcW w:w="4140" w:type="dxa"/>
          </w:tcPr>
          <w:p w:rsidR="00837644" w:rsidRPr="00837644" w:rsidRDefault="00837644" w:rsidP="00837644">
            <w:pPr>
              <w:spacing w:line="240" w:lineRule="auto"/>
            </w:pPr>
            <w:r w:rsidRPr="00837644">
              <w:t>Michael John Glass</w:t>
            </w:r>
          </w:p>
          <w:p w:rsidR="00837644" w:rsidRPr="00837644" w:rsidRDefault="00837644" w:rsidP="00837644">
            <w:pPr>
              <w:spacing w:line="240" w:lineRule="auto"/>
            </w:pPr>
            <w:r w:rsidRPr="00837644">
              <w:t>Deputy Trial Counsel</w:t>
            </w:r>
          </w:p>
          <w:p w:rsidR="00837644" w:rsidRPr="00837644" w:rsidRDefault="00837644" w:rsidP="00837644">
            <w:pPr>
              <w:spacing w:line="240" w:lineRule="auto"/>
            </w:pPr>
            <w:r w:rsidRPr="00837644">
              <w:t>Office of Chief Trial Counsel</w:t>
            </w:r>
          </w:p>
          <w:p w:rsidR="00837644" w:rsidRPr="00837644" w:rsidRDefault="00837644" w:rsidP="00837644">
            <w:pPr>
              <w:spacing w:line="240" w:lineRule="auto"/>
            </w:pPr>
            <w:r w:rsidRPr="00837644">
              <w:t>The State Bar of California</w:t>
            </w:r>
          </w:p>
          <w:p w:rsidR="00837644" w:rsidRPr="00837644" w:rsidRDefault="00837644" w:rsidP="00837644">
            <w:pPr>
              <w:spacing w:line="240" w:lineRule="auto"/>
            </w:pPr>
            <w:r w:rsidRPr="00837644">
              <w:t>1149 S. Hill St.</w:t>
            </w:r>
          </w:p>
          <w:p w:rsidR="00837644" w:rsidRDefault="00837644" w:rsidP="00837644">
            <w:pPr>
              <w:spacing w:line="240" w:lineRule="auto"/>
            </w:pPr>
            <w:r w:rsidRPr="00837644">
              <w:t>Los Angeles, CA 90015-2299</w:t>
            </w:r>
          </w:p>
          <w:p w:rsidR="00837644" w:rsidRPr="00837644" w:rsidRDefault="00837644" w:rsidP="00837644">
            <w:pPr>
              <w:spacing w:line="240" w:lineRule="auto"/>
            </w:pPr>
          </w:p>
        </w:tc>
      </w:tr>
      <w:tr w:rsidR="00837644" w:rsidRPr="00837644" w:rsidTr="0034549D">
        <w:trPr>
          <w:cantSplit/>
        </w:trPr>
        <w:tc>
          <w:tcPr>
            <w:tcW w:w="5310" w:type="dxa"/>
          </w:tcPr>
          <w:p w:rsidR="00837644" w:rsidRPr="00837644" w:rsidRDefault="00837644" w:rsidP="00837644">
            <w:pPr>
              <w:spacing w:line="240" w:lineRule="auto"/>
            </w:pPr>
            <w:r w:rsidRPr="00837644">
              <w:rPr>
                <w:b/>
                <w:bCs/>
              </w:rPr>
              <w:tab/>
            </w:r>
            <w:r w:rsidRPr="00837644">
              <w:t>For Respondent:</w:t>
            </w:r>
          </w:p>
        </w:tc>
        <w:tc>
          <w:tcPr>
            <w:tcW w:w="4140" w:type="dxa"/>
          </w:tcPr>
          <w:p w:rsidR="00837644" w:rsidRPr="00837644" w:rsidRDefault="00837644" w:rsidP="00837644">
            <w:pPr>
              <w:spacing w:line="240" w:lineRule="auto"/>
            </w:pPr>
            <w:r w:rsidRPr="00837644">
              <w:t>David Alan Clare</w:t>
            </w:r>
          </w:p>
          <w:p w:rsidR="00837644" w:rsidRPr="00837644" w:rsidRDefault="00837644" w:rsidP="00837644">
            <w:pPr>
              <w:spacing w:line="240" w:lineRule="auto"/>
            </w:pPr>
            <w:r w:rsidRPr="00837644">
              <w:t>Attorney at Law</w:t>
            </w:r>
          </w:p>
          <w:p w:rsidR="00837644" w:rsidRPr="00837644" w:rsidRDefault="00837644" w:rsidP="00837644">
            <w:pPr>
              <w:spacing w:line="240" w:lineRule="auto"/>
            </w:pPr>
            <w:r w:rsidRPr="00837644">
              <w:t>444 W. Ocean Blvd., Suite 800</w:t>
            </w:r>
          </w:p>
          <w:p w:rsidR="00837644" w:rsidRPr="00837644" w:rsidRDefault="00837644" w:rsidP="00837644">
            <w:pPr>
              <w:spacing w:line="240" w:lineRule="auto"/>
            </w:pPr>
            <w:r w:rsidRPr="00837644">
              <w:t>Long Beach, CA   90802</w:t>
            </w:r>
          </w:p>
        </w:tc>
      </w:tr>
    </w:tbl>
    <w:p w:rsidR="00837644" w:rsidRPr="00837644" w:rsidRDefault="00837644" w:rsidP="00837644">
      <w:pPr>
        <w:spacing w:line="240" w:lineRule="auto"/>
      </w:pPr>
    </w:p>
    <w:p w:rsidR="00A40F69" w:rsidRPr="008A154E" w:rsidRDefault="00A40F69" w:rsidP="00C11CC8"/>
    <w:sectPr w:rsidR="00A40F69" w:rsidRPr="008A154E" w:rsidSect="00CB12EF">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F94" w:rsidRDefault="007B4F94" w:rsidP="00783AF1">
      <w:pPr>
        <w:spacing w:line="240" w:lineRule="auto"/>
      </w:pPr>
      <w:r>
        <w:separator/>
      </w:r>
    </w:p>
  </w:endnote>
  <w:endnote w:type="continuationSeparator" w:id="0">
    <w:p w:rsidR="007B4F94" w:rsidRDefault="007B4F94"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94" w:rsidRDefault="007B4F94" w:rsidP="00783AF1">
    <w:pPr>
      <w:pStyle w:val="Footer"/>
      <w:spacing w:before="120" w:line="240" w:lineRule="auto"/>
      <w:jc w:val="center"/>
    </w:pPr>
    <w:r>
      <w:t>-</w:t>
    </w:r>
    <w:fldSimple w:instr=" PAGE   \* MERGEFORMAT ">
      <w:r w:rsidR="00BF1AAE">
        <w:rPr>
          <w:noProof/>
        </w:rPr>
        <w:t>11</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F94" w:rsidRDefault="007B4F94" w:rsidP="00783AF1">
      <w:pPr>
        <w:spacing w:line="240" w:lineRule="auto"/>
      </w:pPr>
      <w:r>
        <w:separator/>
      </w:r>
    </w:p>
  </w:footnote>
  <w:footnote w:type="continuationSeparator" w:id="0">
    <w:p w:rsidR="007B4F94" w:rsidRDefault="007B4F94" w:rsidP="00783AF1">
      <w:pPr>
        <w:spacing w:line="240" w:lineRule="auto"/>
      </w:pPr>
      <w:r>
        <w:continuationSeparator/>
      </w:r>
    </w:p>
  </w:footnote>
  <w:footnote w:type="continuationNotice" w:id="1">
    <w:p w:rsidR="007B4F94" w:rsidRDefault="007B4F94">
      <w:pPr>
        <w:spacing w:line="240" w:lineRule="auto"/>
      </w:pPr>
    </w:p>
  </w:footnote>
  <w:footnote w:id="2">
    <w:p w:rsidR="007B4F94" w:rsidRDefault="007B4F94" w:rsidP="00B65ECC">
      <w:pPr>
        <w:pStyle w:val="FootnoteText"/>
      </w:pPr>
      <w:r>
        <w:rPr>
          <w:rStyle w:val="FootnoteReference"/>
        </w:rPr>
        <w:footnoteRef/>
      </w:r>
      <w:r>
        <w:t xml:space="preserve">Unless otherwise noted, all further references to “standard(s)” are to the Rules of Procedure of the State Bar, title IV, Standards for Attorney Sanctions for Professional Misconduct.  </w:t>
      </w:r>
    </w:p>
  </w:footnote>
  <w:footnote w:id="3">
    <w:p w:rsidR="007B4F94" w:rsidRDefault="007B4F94" w:rsidP="00A7645E">
      <w:pPr>
        <w:pStyle w:val="FootnoteText"/>
      </w:pPr>
      <w:r>
        <w:rPr>
          <w:rStyle w:val="FootnoteReference"/>
        </w:rPr>
        <w:footnoteRef/>
      </w:r>
      <w:r w:rsidRPr="007170A1">
        <w:t>Unless otherwise noted, all further references to “</w:t>
      </w:r>
      <w:r>
        <w:t>rule</w:t>
      </w:r>
      <w:r w:rsidRPr="007170A1">
        <w:t>(s)” are to th</w:t>
      </w:r>
      <w:r>
        <w:t>e Rules of Professional Conduct of the State Bar.</w:t>
      </w:r>
    </w:p>
  </w:footnote>
  <w:footnote w:id="4">
    <w:p w:rsidR="007B4F94" w:rsidRDefault="007B4F94" w:rsidP="00A7645E">
      <w:pPr>
        <w:pStyle w:val="FootnoteText"/>
      </w:pPr>
      <w:r>
        <w:rPr>
          <w:rStyle w:val="FootnoteReference"/>
        </w:rPr>
        <w:footnoteRef/>
      </w:r>
      <w:r>
        <w:t xml:space="preserve">Business and Professions Code, section 6000 et seq.  Unless otherwise noted, all further references to “section(s)” are to the Business and Professions Code.    </w:t>
      </w:r>
    </w:p>
  </w:footnote>
  <w:footnote w:id="5">
    <w:p w:rsidR="007B4F94" w:rsidRPr="000067DE" w:rsidRDefault="007B4F94" w:rsidP="00A7645E">
      <w:pPr>
        <w:pStyle w:val="FootnoteText"/>
      </w:pPr>
      <w:r>
        <w:rPr>
          <w:rStyle w:val="FootnoteReference"/>
        </w:rPr>
        <w:footnoteRef/>
      </w:r>
      <w:r>
        <w:t xml:space="preserve">Both Sullivan and Bash entered their pleas pursuant to </w:t>
      </w:r>
      <w:r w:rsidRPr="000067DE">
        <w:rPr>
          <w:i/>
        </w:rPr>
        <w:t>People v. West</w:t>
      </w:r>
      <w:r>
        <w:t xml:space="preserve"> (1970) 3 </w:t>
      </w:r>
      <w:proofErr w:type="spellStart"/>
      <w:r>
        <w:t>Cal.3d</w:t>
      </w:r>
      <w:proofErr w:type="spellEnd"/>
      <w:r>
        <w:t xml:space="preserve"> 595 (where no contest plea is not admission of guilt but agreement to be punished as if guilty).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1C2"/>
    <w:multiLevelType w:val="hybridMultilevel"/>
    <w:tmpl w:val="7F7C481C"/>
    <w:lvl w:ilvl="0" w:tplc="516E4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37F0E"/>
    <w:multiLevelType w:val="hybridMultilevel"/>
    <w:tmpl w:val="2376D536"/>
    <w:lvl w:ilvl="0" w:tplc="47BC6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E5569"/>
    <w:multiLevelType w:val="hybridMultilevel"/>
    <w:tmpl w:val="FF4467B8"/>
    <w:lvl w:ilvl="0" w:tplc="EBF25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71712"/>
    <w:multiLevelType w:val="hybridMultilevel"/>
    <w:tmpl w:val="67B62FF6"/>
    <w:lvl w:ilvl="0" w:tplc="7396A1FA">
      <w:start w:val="3"/>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150041"/>
    <w:multiLevelType w:val="hybridMultilevel"/>
    <w:tmpl w:val="DC427110"/>
    <w:lvl w:ilvl="0" w:tplc="BBF09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42BA0"/>
    <w:multiLevelType w:val="hybridMultilevel"/>
    <w:tmpl w:val="A80A2E06"/>
    <w:lvl w:ilvl="0" w:tplc="846ED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E926E3"/>
    <w:multiLevelType w:val="hybridMultilevel"/>
    <w:tmpl w:val="DF2AF12E"/>
    <w:lvl w:ilvl="0" w:tplc="412EDC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6B6121"/>
    <w:multiLevelType w:val="hybridMultilevel"/>
    <w:tmpl w:val="044667A6"/>
    <w:lvl w:ilvl="0" w:tplc="8A5ECF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C6A59"/>
    <w:multiLevelType w:val="hybridMultilevel"/>
    <w:tmpl w:val="ABF45AD2"/>
    <w:lvl w:ilvl="0" w:tplc="74A42BE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33BF5B8D"/>
    <w:multiLevelType w:val="hybridMultilevel"/>
    <w:tmpl w:val="ABE63A5E"/>
    <w:lvl w:ilvl="0" w:tplc="46045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E27529"/>
    <w:multiLevelType w:val="hybridMultilevel"/>
    <w:tmpl w:val="F57C1EE2"/>
    <w:lvl w:ilvl="0" w:tplc="6E6CBF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665B5B"/>
    <w:multiLevelType w:val="hybridMultilevel"/>
    <w:tmpl w:val="9CA6121E"/>
    <w:lvl w:ilvl="0" w:tplc="EACC2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B851A9"/>
    <w:multiLevelType w:val="hybridMultilevel"/>
    <w:tmpl w:val="06483E9E"/>
    <w:lvl w:ilvl="0" w:tplc="24EA8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310D08"/>
    <w:multiLevelType w:val="hybridMultilevel"/>
    <w:tmpl w:val="6A524300"/>
    <w:lvl w:ilvl="0" w:tplc="89E8F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2"/>
  </w:num>
  <w:num w:numId="4">
    <w:abstractNumId w:val="7"/>
  </w:num>
  <w:num w:numId="5">
    <w:abstractNumId w:val="3"/>
  </w:num>
  <w:num w:numId="6">
    <w:abstractNumId w:val="6"/>
  </w:num>
  <w:num w:numId="7">
    <w:abstractNumId w:val="5"/>
  </w:num>
  <w:num w:numId="8">
    <w:abstractNumId w:val="1"/>
  </w:num>
  <w:num w:numId="9">
    <w:abstractNumId w:val="12"/>
  </w:num>
  <w:num w:numId="10">
    <w:abstractNumId w:val="0"/>
  </w:num>
  <w:num w:numId="11">
    <w:abstractNumId w:val="11"/>
  </w:num>
  <w:num w:numId="12">
    <w:abstractNumId w:val="8"/>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 w:id="1"/>
  </w:footnotePr>
  <w:endnotePr>
    <w:endnote w:id="-1"/>
    <w:endnote w:id="0"/>
  </w:endnotePr>
  <w:compat/>
  <w:rsids>
    <w:rsidRoot w:val="009F6CE7"/>
    <w:rsid w:val="00001B48"/>
    <w:rsid w:val="00002A48"/>
    <w:rsid w:val="00002A49"/>
    <w:rsid w:val="00003A02"/>
    <w:rsid w:val="000067DE"/>
    <w:rsid w:val="000102A1"/>
    <w:rsid w:val="000138EF"/>
    <w:rsid w:val="00014498"/>
    <w:rsid w:val="00026EA2"/>
    <w:rsid w:val="000309D4"/>
    <w:rsid w:val="00030A23"/>
    <w:rsid w:val="00034461"/>
    <w:rsid w:val="00034AFC"/>
    <w:rsid w:val="00034E75"/>
    <w:rsid w:val="000367FE"/>
    <w:rsid w:val="000438E5"/>
    <w:rsid w:val="00043C00"/>
    <w:rsid w:val="000445A7"/>
    <w:rsid w:val="00055856"/>
    <w:rsid w:val="00057AD7"/>
    <w:rsid w:val="00060549"/>
    <w:rsid w:val="00067D19"/>
    <w:rsid w:val="0007207E"/>
    <w:rsid w:val="00072412"/>
    <w:rsid w:val="00073139"/>
    <w:rsid w:val="00094734"/>
    <w:rsid w:val="00095431"/>
    <w:rsid w:val="00095C4E"/>
    <w:rsid w:val="000A21FD"/>
    <w:rsid w:val="000A3B5B"/>
    <w:rsid w:val="000B062D"/>
    <w:rsid w:val="000B2A20"/>
    <w:rsid w:val="000B5B25"/>
    <w:rsid w:val="000B5BFD"/>
    <w:rsid w:val="000B79EB"/>
    <w:rsid w:val="000C0942"/>
    <w:rsid w:val="000C1AAF"/>
    <w:rsid w:val="000C202F"/>
    <w:rsid w:val="000C2C86"/>
    <w:rsid w:val="000C6D02"/>
    <w:rsid w:val="000D20C7"/>
    <w:rsid w:val="000E14F8"/>
    <w:rsid w:val="000E44F2"/>
    <w:rsid w:val="000F0F74"/>
    <w:rsid w:val="000F63DB"/>
    <w:rsid w:val="000F6EDB"/>
    <w:rsid w:val="001013D0"/>
    <w:rsid w:val="00103E46"/>
    <w:rsid w:val="00105BD5"/>
    <w:rsid w:val="001237D2"/>
    <w:rsid w:val="00127337"/>
    <w:rsid w:val="00127A95"/>
    <w:rsid w:val="0013042F"/>
    <w:rsid w:val="0013779B"/>
    <w:rsid w:val="00154492"/>
    <w:rsid w:val="00154AD2"/>
    <w:rsid w:val="0016447D"/>
    <w:rsid w:val="0017257B"/>
    <w:rsid w:val="00180690"/>
    <w:rsid w:val="0018217C"/>
    <w:rsid w:val="001839D3"/>
    <w:rsid w:val="0018793E"/>
    <w:rsid w:val="00195F08"/>
    <w:rsid w:val="00196C39"/>
    <w:rsid w:val="001A6266"/>
    <w:rsid w:val="001B4945"/>
    <w:rsid w:val="001B54CA"/>
    <w:rsid w:val="001B609E"/>
    <w:rsid w:val="001C0D9F"/>
    <w:rsid w:val="001C4810"/>
    <w:rsid w:val="001C5319"/>
    <w:rsid w:val="001D023F"/>
    <w:rsid w:val="001D1792"/>
    <w:rsid w:val="001E48FD"/>
    <w:rsid w:val="001E5658"/>
    <w:rsid w:val="001E65CF"/>
    <w:rsid w:val="001F1576"/>
    <w:rsid w:val="001F1C79"/>
    <w:rsid w:val="001F25E0"/>
    <w:rsid w:val="001F6D98"/>
    <w:rsid w:val="00200347"/>
    <w:rsid w:val="002061C1"/>
    <w:rsid w:val="002063DB"/>
    <w:rsid w:val="00207FCE"/>
    <w:rsid w:val="00214C96"/>
    <w:rsid w:val="00222CF1"/>
    <w:rsid w:val="002252CF"/>
    <w:rsid w:val="00226F1C"/>
    <w:rsid w:val="00227D65"/>
    <w:rsid w:val="00232F52"/>
    <w:rsid w:val="002346E0"/>
    <w:rsid w:val="00236D11"/>
    <w:rsid w:val="0024614F"/>
    <w:rsid w:val="0024715E"/>
    <w:rsid w:val="0025759C"/>
    <w:rsid w:val="00260E02"/>
    <w:rsid w:val="002715DB"/>
    <w:rsid w:val="00272977"/>
    <w:rsid w:val="002822EE"/>
    <w:rsid w:val="002860B0"/>
    <w:rsid w:val="00286C7F"/>
    <w:rsid w:val="002900E8"/>
    <w:rsid w:val="00294323"/>
    <w:rsid w:val="002A25D7"/>
    <w:rsid w:val="002A4BC8"/>
    <w:rsid w:val="002A6F29"/>
    <w:rsid w:val="002B1AC3"/>
    <w:rsid w:val="002B327A"/>
    <w:rsid w:val="002B4065"/>
    <w:rsid w:val="002B604B"/>
    <w:rsid w:val="002B7C37"/>
    <w:rsid w:val="002C2986"/>
    <w:rsid w:val="002C3942"/>
    <w:rsid w:val="002C7FC7"/>
    <w:rsid w:val="002E16FE"/>
    <w:rsid w:val="002E3EC8"/>
    <w:rsid w:val="002E7623"/>
    <w:rsid w:val="002F21E3"/>
    <w:rsid w:val="002F3E2F"/>
    <w:rsid w:val="002F4349"/>
    <w:rsid w:val="002F47EB"/>
    <w:rsid w:val="00307F7A"/>
    <w:rsid w:val="00314FBB"/>
    <w:rsid w:val="0031576F"/>
    <w:rsid w:val="00321BF4"/>
    <w:rsid w:val="0033143F"/>
    <w:rsid w:val="00333B9C"/>
    <w:rsid w:val="003341CE"/>
    <w:rsid w:val="00334DA4"/>
    <w:rsid w:val="0034549D"/>
    <w:rsid w:val="00345D8F"/>
    <w:rsid w:val="0035404E"/>
    <w:rsid w:val="003563A7"/>
    <w:rsid w:val="00367231"/>
    <w:rsid w:val="00393577"/>
    <w:rsid w:val="00393733"/>
    <w:rsid w:val="00397CC5"/>
    <w:rsid w:val="003A43D5"/>
    <w:rsid w:val="003A6210"/>
    <w:rsid w:val="003B072E"/>
    <w:rsid w:val="003B46EE"/>
    <w:rsid w:val="003B4FC1"/>
    <w:rsid w:val="003C4631"/>
    <w:rsid w:val="003D3F92"/>
    <w:rsid w:val="003E4315"/>
    <w:rsid w:val="003E7315"/>
    <w:rsid w:val="003F1E85"/>
    <w:rsid w:val="003F26E6"/>
    <w:rsid w:val="003F276D"/>
    <w:rsid w:val="00406F96"/>
    <w:rsid w:val="00412DD7"/>
    <w:rsid w:val="00417FDC"/>
    <w:rsid w:val="00422432"/>
    <w:rsid w:val="00424D83"/>
    <w:rsid w:val="004310E7"/>
    <w:rsid w:val="00450536"/>
    <w:rsid w:val="00451161"/>
    <w:rsid w:val="00455CA7"/>
    <w:rsid w:val="00462C08"/>
    <w:rsid w:val="004659D4"/>
    <w:rsid w:val="0047041D"/>
    <w:rsid w:val="00472040"/>
    <w:rsid w:val="00472500"/>
    <w:rsid w:val="004737F4"/>
    <w:rsid w:val="00473A5A"/>
    <w:rsid w:val="00480514"/>
    <w:rsid w:val="0048099B"/>
    <w:rsid w:val="0048170B"/>
    <w:rsid w:val="004927C6"/>
    <w:rsid w:val="004939F1"/>
    <w:rsid w:val="00495595"/>
    <w:rsid w:val="00496373"/>
    <w:rsid w:val="00497A94"/>
    <w:rsid w:val="004A02AF"/>
    <w:rsid w:val="004A0F5C"/>
    <w:rsid w:val="004A39B7"/>
    <w:rsid w:val="004B0415"/>
    <w:rsid w:val="004B4348"/>
    <w:rsid w:val="004B4CD4"/>
    <w:rsid w:val="004B66E7"/>
    <w:rsid w:val="004D01C6"/>
    <w:rsid w:val="004D4245"/>
    <w:rsid w:val="004E0317"/>
    <w:rsid w:val="004E2B73"/>
    <w:rsid w:val="004E4233"/>
    <w:rsid w:val="004E5D64"/>
    <w:rsid w:val="004E77E5"/>
    <w:rsid w:val="004E7E8F"/>
    <w:rsid w:val="004F6144"/>
    <w:rsid w:val="005038C3"/>
    <w:rsid w:val="00504E48"/>
    <w:rsid w:val="00505128"/>
    <w:rsid w:val="00507C77"/>
    <w:rsid w:val="0051143D"/>
    <w:rsid w:val="00513391"/>
    <w:rsid w:val="0052060F"/>
    <w:rsid w:val="00521DB7"/>
    <w:rsid w:val="005264F8"/>
    <w:rsid w:val="00526CC2"/>
    <w:rsid w:val="0053080A"/>
    <w:rsid w:val="00530B58"/>
    <w:rsid w:val="00531094"/>
    <w:rsid w:val="005318B3"/>
    <w:rsid w:val="00535A65"/>
    <w:rsid w:val="00536F02"/>
    <w:rsid w:val="00537851"/>
    <w:rsid w:val="00537DDA"/>
    <w:rsid w:val="00540EC5"/>
    <w:rsid w:val="00542A78"/>
    <w:rsid w:val="00553606"/>
    <w:rsid w:val="005667BC"/>
    <w:rsid w:val="005717A1"/>
    <w:rsid w:val="00576A42"/>
    <w:rsid w:val="00580618"/>
    <w:rsid w:val="00584138"/>
    <w:rsid w:val="005862D3"/>
    <w:rsid w:val="00586DCE"/>
    <w:rsid w:val="00590308"/>
    <w:rsid w:val="005906E5"/>
    <w:rsid w:val="00591657"/>
    <w:rsid w:val="005925ED"/>
    <w:rsid w:val="00592A5D"/>
    <w:rsid w:val="005A436F"/>
    <w:rsid w:val="005A4F4C"/>
    <w:rsid w:val="005B14CC"/>
    <w:rsid w:val="005B6923"/>
    <w:rsid w:val="005C0A4A"/>
    <w:rsid w:val="005D14B2"/>
    <w:rsid w:val="005E225C"/>
    <w:rsid w:val="005E797C"/>
    <w:rsid w:val="005F1A58"/>
    <w:rsid w:val="005F6C4A"/>
    <w:rsid w:val="006002F3"/>
    <w:rsid w:val="00602F51"/>
    <w:rsid w:val="00603DB3"/>
    <w:rsid w:val="006043B2"/>
    <w:rsid w:val="006045D6"/>
    <w:rsid w:val="006064DB"/>
    <w:rsid w:val="00611D95"/>
    <w:rsid w:val="00614BE6"/>
    <w:rsid w:val="00614EDE"/>
    <w:rsid w:val="006152EF"/>
    <w:rsid w:val="00617A49"/>
    <w:rsid w:val="006222AF"/>
    <w:rsid w:val="00622CE0"/>
    <w:rsid w:val="00626192"/>
    <w:rsid w:val="0063142A"/>
    <w:rsid w:val="0063248A"/>
    <w:rsid w:val="0063376D"/>
    <w:rsid w:val="00643BE4"/>
    <w:rsid w:val="006523EA"/>
    <w:rsid w:val="00652488"/>
    <w:rsid w:val="0066226F"/>
    <w:rsid w:val="00663970"/>
    <w:rsid w:val="00666BE6"/>
    <w:rsid w:val="006720AF"/>
    <w:rsid w:val="0068375D"/>
    <w:rsid w:val="00684474"/>
    <w:rsid w:val="00691D9B"/>
    <w:rsid w:val="00694299"/>
    <w:rsid w:val="0069516F"/>
    <w:rsid w:val="0069730E"/>
    <w:rsid w:val="006A0393"/>
    <w:rsid w:val="006A1A27"/>
    <w:rsid w:val="006A376C"/>
    <w:rsid w:val="006A38CE"/>
    <w:rsid w:val="006A7BCE"/>
    <w:rsid w:val="006B0D62"/>
    <w:rsid w:val="006C296F"/>
    <w:rsid w:val="006C4342"/>
    <w:rsid w:val="006C5390"/>
    <w:rsid w:val="006D79A4"/>
    <w:rsid w:val="006E124A"/>
    <w:rsid w:val="006E3666"/>
    <w:rsid w:val="006E7EDA"/>
    <w:rsid w:val="006F225B"/>
    <w:rsid w:val="007015A6"/>
    <w:rsid w:val="00702283"/>
    <w:rsid w:val="00702583"/>
    <w:rsid w:val="00712E3C"/>
    <w:rsid w:val="007151B3"/>
    <w:rsid w:val="007170A1"/>
    <w:rsid w:val="00720654"/>
    <w:rsid w:val="00720BDD"/>
    <w:rsid w:val="00723532"/>
    <w:rsid w:val="00731AAC"/>
    <w:rsid w:val="007347E9"/>
    <w:rsid w:val="00747971"/>
    <w:rsid w:val="00751B59"/>
    <w:rsid w:val="00752C6E"/>
    <w:rsid w:val="00753956"/>
    <w:rsid w:val="00753A68"/>
    <w:rsid w:val="0075432A"/>
    <w:rsid w:val="007623D7"/>
    <w:rsid w:val="00762D35"/>
    <w:rsid w:val="007658AD"/>
    <w:rsid w:val="00772DFE"/>
    <w:rsid w:val="00773CD7"/>
    <w:rsid w:val="007768C9"/>
    <w:rsid w:val="00783AF1"/>
    <w:rsid w:val="007862E6"/>
    <w:rsid w:val="007928C5"/>
    <w:rsid w:val="007A5071"/>
    <w:rsid w:val="007A5140"/>
    <w:rsid w:val="007A5E2D"/>
    <w:rsid w:val="007B423D"/>
    <w:rsid w:val="007B4F94"/>
    <w:rsid w:val="007B66CF"/>
    <w:rsid w:val="007B78AF"/>
    <w:rsid w:val="007C4CDB"/>
    <w:rsid w:val="007C6853"/>
    <w:rsid w:val="007C7EAF"/>
    <w:rsid w:val="007D07F8"/>
    <w:rsid w:val="007D0D2C"/>
    <w:rsid w:val="007E0C8C"/>
    <w:rsid w:val="007E2D1D"/>
    <w:rsid w:val="007F199D"/>
    <w:rsid w:val="007F537A"/>
    <w:rsid w:val="0080204A"/>
    <w:rsid w:val="00804F90"/>
    <w:rsid w:val="00807FEE"/>
    <w:rsid w:val="00810931"/>
    <w:rsid w:val="00811197"/>
    <w:rsid w:val="008146C8"/>
    <w:rsid w:val="008156A1"/>
    <w:rsid w:val="008163C5"/>
    <w:rsid w:val="008176DF"/>
    <w:rsid w:val="00821F6D"/>
    <w:rsid w:val="00832035"/>
    <w:rsid w:val="00832B77"/>
    <w:rsid w:val="00835F54"/>
    <w:rsid w:val="00837644"/>
    <w:rsid w:val="00850B1A"/>
    <w:rsid w:val="00852C38"/>
    <w:rsid w:val="00854205"/>
    <w:rsid w:val="00856A70"/>
    <w:rsid w:val="008623E1"/>
    <w:rsid w:val="00865C93"/>
    <w:rsid w:val="00872069"/>
    <w:rsid w:val="0087358F"/>
    <w:rsid w:val="00876D6E"/>
    <w:rsid w:val="00877668"/>
    <w:rsid w:val="00884040"/>
    <w:rsid w:val="0089088A"/>
    <w:rsid w:val="00890CF7"/>
    <w:rsid w:val="00896DB7"/>
    <w:rsid w:val="008A154E"/>
    <w:rsid w:val="008A2BF8"/>
    <w:rsid w:val="008B1231"/>
    <w:rsid w:val="008B501E"/>
    <w:rsid w:val="008B59F9"/>
    <w:rsid w:val="008B708F"/>
    <w:rsid w:val="008B7CC5"/>
    <w:rsid w:val="008C21F5"/>
    <w:rsid w:val="008C51CE"/>
    <w:rsid w:val="008D1F2B"/>
    <w:rsid w:val="008E0AF3"/>
    <w:rsid w:val="008E3541"/>
    <w:rsid w:val="008E3BEC"/>
    <w:rsid w:val="008E4725"/>
    <w:rsid w:val="008F5C6E"/>
    <w:rsid w:val="0090053F"/>
    <w:rsid w:val="0090425D"/>
    <w:rsid w:val="00907F1D"/>
    <w:rsid w:val="00911811"/>
    <w:rsid w:val="00912F71"/>
    <w:rsid w:val="00915317"/>
    <w:rsid w:val="0091779C"/>
    <w:rsid w:val="00917DE1"/>
    <w:rsid w:val="0092010F"/>
    <w:rsid w:val="009216E0"/>
    <w:rsid w:val="00926AB7"/>
    <w:rsid w:val="00927DE6"/>
    <w:rsid w:val="009418F2"/>
    <w:rsid w:val="00941925"/>
    <w:rsid w:val="00943692"/>
    <w:rsid w:val="00956E8B"/>
    <w:rsid w:val="00960E28"/>
    <w:rsid w:val="0096413A"/>
    <w:rsid w:val="00967374"/>
    <w:rsid w:val="009763FD"/>
    <w:rsid w:val="009765E0"/>
    <w:rsid w:val="009900D5"/>
    <w:rsid w:val="009979AF"/>
    <w:rsid w:val="009A254A"/>
    <w:rsid w:val="009B1387"/>
    <w:rsid w:val="009B3F67"/>
    <w:rsid w:val="009C0D74"/>
    <w:rsid w:val="009C1AA5"/>
    <w:rsid w:val="009C2BC3"/>
    <w:rsid w:val="009C63A7"/>
    <w:rsid w:val="009E3081"/>
    <w:rsid w:val="009E46E8"/>
    <w:rsid w:val="009F1654"/>
    <w:rsid w:val="009F5BFC"/>
    <w:rsid w:val="009F6CE7"/>
    <w:rsid w:val="00A03974"/>
    <w:rsid w:val="00A07497"/>
    <w:rsid w:val="00A13D11"/>
    <w:rsid w:val="00A15064"/>
    <w:rsid w:val="00A15B31"/>
    <w:rsid w:val="00A21563"/>
    <w:rsid w:val="00A22227"/>
    <w:rsid w:val="00A2510D"/>
    <w:rsid w:val="00A3221B"/>
    <w:rsid w:val="00A40F69"/>
    <w:rsid w:val="00A41F4E"/>
    <w:rsid w:val="00A570FB"/>
    <w:rsid w:val="00A6547F"/>
    <w:rsid w:val="00A7487C"/>
    <w:rsid w:val="00A7645E"/>
    <w:rsid w:val="00A828DB"/>
    <w:rsid w:val="00A97CBA"/>
    <w:rsid w:val="00AA2440"/>
    <w:rsid w:val="00AB1078"/>
    <w:rsid w:val="00AB276C"/>
    <w:rsid w:val="00AB6415"/>
    <w:rsid w:val="00AC6030"/>
    <w:rsid w:val="00AD3D4A"/>
    <w:rsid w:val="00AD4C97"/>
    <w:rsid w:val="00AD6AD0"/>
    <w:rsid w:val="00AE0D4D"/>
    <w:rsid w:val="00AF47C9"/>
    <w:rsid w:val="00B06B36"/>
    <w:rsid w:val="00B07AB6"/>
    <w:rsid w:val="00B1288A"/>
    <w:rsid w:val="00B12E64"/>
    <w:rsid w:val="00B12EC1"/>
    <w:rsid w:val="00B17044"/>
    <w:rsid w:val="00B20581"/>
    <w:rsid w:val="00B235AC"/>
    <w:rsid w:val="00B32B26"/>
    <w:rsid w:val="00B35CA3"/>
    <w:rsid w:val="00B36426"/>
    <w:rsid w:val="00B421AC"/>
    <w:rsid w:val="00B43C9A"/>
    <w:rsid w:val="00B45192"/>
    <w:rsid w:val="00B47F62"/>
    <w:rsid w:val="00B50F4D"/>
    <w:rsid w:val="00B55304"/>
    <w:rsid w:val="00B574E6"/>
    <w:rsid w:val="00B65ECC"/>
    <w:rsid w:val="00B65FDA"/>
    <w:rsid w:val="00B74A1B"/>
    <w:rsid w:val="00B755C4"/>
    <w:rsid w:val="00B828AC"/>
    <w:rsid w:val="00B92689"/>
    <w:rsid w:val="00B979AC"/>
    <w:rsid w:val="00BA0B63"/>
    <w:rsid w:val="00BA1B85"/>
    <w:rsid w:val="00BA342E"/>
    <w:rsid w:val="00BB340B"/>
    <w:rsid w:val="00BC2C76"/>
    <w:rsid w:val="00BC7BEE"/>
    <w:rsid w:val="00BE0B0F"/>
    <w:rsid w:val="00BE6D3C"/>
    <w:rsid w:val="00BF1547"/>
    <w:rsid w:val="00BF1AAE"/>
    <w:rsid w:val="00BF2B7F"/>
    <w:rsid w:val="00BF30D7"/>
    <w:rsid w:val="00BF3621"/>
    <w:rsid w:val="00C102AC"/>
    <w:rsid w:val="00C11CC8"/>
    <w:rsid w:val="00C14946"/>
    <w:rsid w:val="00C2157B"/>
    <w:rsid w:val="00C234B3"/>
    <w:rsid w:val="00C2402F"/>
    <w:rsid w:val="00C27F95"/>
    <w:rsid w:val="00C33A23"/>
    <w:rsid w:val="00C348CB"/>
    <w:rsid w:val="00C4380C"/>
    <w:rsid w:val="00C5684F"/>
    <w:rsid w:val="00C614A8"/>
    <w:rsid w:val="00C622E1"/>
    <w:rsid w:val="00C639F4"/>
    <w:rsid w:val="00C65248"/>
    <w:rsid w:val="00C80299"/>
    <w:rsid w:val="00C8173F"/>
    <w:rsid w:val="00C86C74"/>
    <w:rsid w:val="00C87253"/>
    <w:rsid w:val="00CA1743"/>
    <w:rsid w:val="00CA3C44"/>
    <w:rsid w:val="00CB12EF"/>
    <w:rsid w:val="00CB3B71"/>
    <w:rsid w:val="00CB3B9F"/>
    <w:rsid w:val="00CB3D8C"/>
    <w:rsid w:val="00CB3E07"/>
    <w:rsid w:val="00CD0376"/>
    <w:rsid w:val="00CD2B88"/>
    <w:rsid w:val="00CD321F"/>
    <w:rsid w:val="00CD4216"/>
    <w:rsid w:val="00CE0537"/>
    <w:rsid w:val="00CE061E"/>
    <w:rsid w:val="00CE1B3B"/>
    <w:rsid w:val="00CE577E"/>
    <w:rsid w:val="00CE6FAB"/>
    <w:rsid w:val="00CE7EAE"/>
    <w:rsid w:val="00CF5BAC"/>
    <w:rsid w:val="00CF63ED"/>
    <w:rsid w:val="00D028AC"/>
    <w:rsid w:val="00D15496"/>
    <w:rsid w:val="00D15C9B"/>
    <w:rsid w:val="00D26005"/>
    <w:rsid w:val="00D32D97"/>
    <w:rsid w:val="00D36BDC"/>
    <w:rsid w:val="00D37E03"/>
    <w:rsid w:val="00D5114D"/>
    <w:rsid w:val="00D533A3"/>
    <w:rsid w:val="00D56AB8"/>
    <w:rsid w:val="00D57AD0"/>
    <w:rsid w:val="00D614FB"/>
    <w:rsid w:val="00D71950"/>
    <w:rsid w:val="00D743A2"/>
    <w:rsid w:val="00D76B3B"/>
    <w:rsid w:val="00D775D9"/>
    <w:rsid w:val="00D86A10"/>
    <w:rsid w:val="00D91225"/>
    <w:rsid w:val="00DA3ABE"/>
    <w:rsid w:val="00DB25EB"/>
    <w:rsid w:val="00DB5502"/>
    <w:rsid w:val="00DC0D07"/>
    <w:rsid w:val="00DC12AC"/>
    <w:rsid w:val="00DC46E8"/>
    <w:rsid w:val="00DC4A3F"/>
    <w:rsid w:val="00DD04EB"/>
    <w:rsid w:val="00DD0C49"/>
    <w:rsid w:val="00DE093D"/>
    <w:rsid w:val="00DE0B12"/>
    <w:rsid w:val="00DE430C"/>
    <w:rsid w:val="00E03E6E"/>
    <w:rsid w:val="00E04211"/>
    <w:rsid w:val="00E046B2"/>
    <w:rsid w:val="00E07150"/>
    <w:rsid w:val="00E13DFC"/>
    <w:rsid w:val="00E171D3"/>
    <w:rsid w:val="00E20835"/>
    <w:rsid w:val="00E21895"/>
    <w:rsid w:val="00E22B7F"/>
    <w:rsid w:val="00E30883"/>
    <w:rsid w:val="00E40100"/>
    <w:rsid w:val="00E42E6B"/>
    <w:rsid w:val="00E4447A"/>
    <w:rsid w:val="00E51439"/>
    <w:rsid w:val="00E6710E"/>
    <w:rsid w:val="00E7069B"/>
    <w:rsid w:val="00E70CAC"/>
    <w:rsid w:val="00E72E0F"/>
    <w:rsid w:val="00E73D69"/>
    <w:rsid w:val="00E77591"/>
    <w:rsid w:val="00E815C3"/>
    <w:rsid w:val="00E81D6C"/>
    <w:rsid w:val="00E8684E"/>
    <w:rsid w:val="00E93F7C"/>
    <w:rsid w:val="00E9720F"/>
    <w:rsid w:val="00E97224"/>
    <w:rsid w:val="00EB222C"/>
    <w:rsid w:val="00EB5963"/>
    <w:rsid w:val="00EC05FB"/>
    <w:rsid w:val="00EC33BE"/>
    <w:rsid w:val="00EC4A1B"/>
    <w:rsid w:val="00ED03D5"/>
    <w:rsid w:val="00ED7171"/>
    <w:rsid w:val="00EE1F1F"/>
    <w:rsid w:val="00EE725B"/>
    <w:rsid w:val="00EF0339"/>
    <w:rsid w:val="00EF0873"/>
    <w:rsid w:val="00EF5BD6"/>
    <w:rsid w:val="00F0646F"/>
    <w:rsid w:val="00F10C5E"/>
    <w:rsid w:val="00F11271"/>
    <w:rsid w:val="00F21B27"/>
    <w:rsid w:val="00F22F94"/>
    <w:rsid w:val="00F23BF1"/>
    <w:rsid w:val="00F3774D"/>
    <w:rsid w:val="00F4122F"/>
    <w:rsid w:val="00F46D99"/>
    <w:rsid w:val="00F5020D"/>
    <w:rsid w:val="00F522E1"/>
    <w:rsid w:val="00F54C07"/>
    <w:rsid w:val="00F60827"/>
    <w:rsid w:val="00F613FE"/>
    <w:rsid w:val="00F62AB9"/>
    <w:rsid w:val="00F634BC"/>
    <w:rsid w:val="00F65389"/>
    <w:rsid w:val="00F726CE"/>
    <w:rsid w:val="00F7364F"/>
    <w:rsid w:val="00F74541"/>
    <w:rsid w:val="00F7572F"/>
    <w:rsid w:val="00F75978"/>
    <w:rsid w:val="00F75FD2"/>
    <w:rsid w:val="00F83B66"/>
    <w:rsid w:val="00F93E42"/>
    <w:rsid w:val="00F96A38"/>
    <w:rsid w:val="00F96E32"/>
    <w:rsid w:val="00FA0CBF"/>
    <w:rsid w:val="00FA0F47"/>
    <w:rsid w:val="00FA3EFF"/>
    <w:rsid w:val="00FA57FF"/>
    <w:rsid w:val="00FA6331"/>
    <w:rsid w:val="00FA7E14"/>
    <w:rsid w:val="00FB281B"/>
    <w:rsid w:val="00FB2CDB"/>
    <w:rsid w:val="00FC2C0D"/>
    <w:rsid w:val="00FD561F"/>
    <w:rsid w:val="00FD5AB2"/>
    <w:rsid w:val="00FD7369"/>
    <w:rsid w:val="00FE47DF"/>
    <w:rsid w:val="00FF08B5"/>
    <w:rsid w:val="00FF6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after="0" w:line="480" w:lineRule="auto"/>
    </w:p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A7645E"/>
    <w:pPr>
      <w:keepLines/>
      <w:spacing w:after="120" w:line="240" w:lineRule="auto"/>
      <w:ind w:firstLine="720"/>
    </w:pPr>
  </w:style>
  <w:style w:type="character" w:customStyle="1" w:styleId="FootnoteTextChar">
    <w:name w:val="Footnote Text Char"/>
    <w:basedOn w:val="DefaultParagraphFont"/>
    <w:link w:val="FootnoteText"/>
    <w:rsid w:val="00A7645E"/>
  </w:style>
  <w:style w:type="paragraph" w:customStyle="1" w:styleId="Footnote">
    <w:name w:val="Footnote"/>
    <w:basedOn w:val="Normal"/>
    <w:link w:val="FootnoteChar"/>
    <w:autoRedefine/>
    <w:qFormat/>
    <w:rsid w:val="00497A94"/>
    <w:pPr>
      <w:spacing w:after="120" w:line="240" w:lineRule="auto"/>
    </w:pPr>
    <w:rPr>
      <w:rFonts w:cstheme="minorBidi"/>
      <w:b/>
    </w:rPr>
  </w:style>
  <w:style w:type="character" w:customStyle="1" w:styleId="FootnoteChar">
    <w:name w:val="Footnote Char"/>
    <w:basedOn w:val="DefaultParagraphFont"/>
    <w:link w:val="Footnote"/>
    <w:rsid w:val="00497A94"/>
    <w:rPr>
      <w:rFonts w:cstheme="minorBidi"/>
      <w:b/>
    </w:rPr>
  </w:style>
  <w:style w:type="table" w:styleId="TableGrid">
    <w:name w:val="Table Grid"/>
    <w:basedOn w:val="TableNormal"/>
    <w:uiPriority w:val="59"/>
    <w:rsid w:val="00C1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3AF1"/>
    <w:rPr>
      <w:vertAlign w:val="superscript"/>
    </w:rPr>
  </w:style>
  <w:style w:type="paragraph" w:styleId="Header">
    <w:name w:val="header"/>
    <w:basedOn w:val="Normal"/>
    <w:link w:val="HeaderChar"/>
    <w:uiPriority w:val="99"/>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ListParagraph">
    <w:name w:val="List Paragraph"/>
    <w:basedOn w:val="Normal"/>
    <w:uiPriority w:val="34"/>
    <w:qFormat/>
    <w:rsid w:val="007B66CF"/>
    <w:pPr>
      <w:ind w:left="720"/>
      <w:contextualSpacing/>
    </w:pPr>
  </w:style>
  <w:style w:type="paragraph" w:customStyle="1" w:styleId="Default">
    <w:name w:val="Default"/>
    <w:uiPriority w:val="99"/>
    <w:rsid w:val="00412DD7"/>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4E77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841565">
      <w:bodyDiv w:val="1"/>
      <w:marLeft w:val="30"/>
      <w:marRight w:val="30"/>
      <w:marTop w:val="30"/>
      <w:marBottom w:val="30"/>
      <w:divBdr>
        <w:top w:val="none" w:sz="0" w:space="0" w:color="auto"/>
        <w:left w:val="none" w:sz="0" w:space="0" w:color="auto"/>
        <w:bottom w:val="none" w:sz="0" w:space="0" w:color="auto"/>
        <w:right w:val="none" w:sz="0" w:space="0" w:color="auto"/>
      </w:divBdr>
      <w:divsChild>
        <w:div w:id="1005087141">
          <w:marLeft w:val="0"/>
          <w:marRight w:val="0"/>
          <w:marTop w:val="0"/>
          <w:marBottom w:val="0"/>
          <w:divBdr>
            <w:top w:val="none" w:sz="0" w:space="0" w:color="auto"/>
            <w:left w:val="none" w:sz="0" w:space="0" w:color="auto"/>
            <w:bottom w:val="none" w:sz="0" w:space="0" w:color="auto"/>
            <w:right w:val="none" w:sz="0" w:space="0" w:color="auto"/>
          </w:divBdr>
          <w:divsChild>
            <w:div w:id="254561510">
              <w:marLeft w:val="45"/>
              <w:marRight w:val="45"/>
              <w:marTop w:val="45"/>
              <w:marBottom w:val="45"/>
              <w:divBdr>
                <w:top w:val="none" w:sz="0" w:space="0" w:color="auto"/>
                <w:left w:val="none" w:sz="0" w:space="0" w:color="auto"/>
                <w:bottom w:val="none" w:sz="0" w:space="0" w:color="auto"/>
                <w:right w:val="none" w:sz="0" w:space="0" w:color="auto"/>
              </w:divBdr>
              <w:divsChild>
                <w:div w:id="1727678523">
                  <w:marLeft w:val="0"/>
                  <w:marRight w:val="0"/>
                  <w:marTop w:val="0"/>
                  <w:marBottom w:val="0"/>
                  <w:divBdr>
                    <w:top w:val="none" w:sz="0" w:space="0" w:color="auto"/>
                    <w:left w:val="none" w:sz="0" w:space="0" w:color="auto"/>
                    <w:bottom w:val="none" w:sz="0" w:space="0" w:color="auto"/>
                    <w:right w:val="none" w:sz="0" w:space="0" w:color="auto"/>
                  </w:divBdr>
                  <w:divsChild>
                    <w:div w:id="576861052">
                      <w:marLeft w:val="0"/>
                      <w:marRight w:val="0"/>
                      <w:marTop w:val="0"/>
                      <w:marBottom w:val="0"/>
                      <w:divBdr>
                        <w:top w:val="none" w:sz="0" w:space="0" w:color="auto"/>
                        <w:left w:val="none" w:sz="0" w:space="0" w:color="auto"/>
                        <w:bottom w:val="none" w:sz="0" w:space="0" w:color="auto"/>
                        <w:right w:val="none" w:sz="0" w:space="0" w:color="auto"/>
                      </w:divBdr>
                    </w:div>
                    <w:div w:id="926233242">
                      <w:marLeft w:val="0"/>
                      <w:marRight w:val="0"/>
                      <w:marTop w:val="0"/>
                      <w:marBottom w:val="0"/>
                      <w:divBdr>
                        <w:top w:val="none" w:sz="0" w:space="0" w:color="auto"/>
                        <w:left w:val="none" w:sz="0" w:space="0" w:color="auto"/>
                        <w:bottom w:val="none" w:sz="0" w:space="0" w:color="auto"/>
                        <w:right w:val="none" w:sz="0" w:space="0" w:color="auto"/>
                      </w:divBdr>
                    </w:div>
                    <w:div w:id="1227303137">
                      <w:marLeft w:val="0"/>
                      <w:marRight w:val="0"/>
                      <w:marTop w:val="0"/>
                      <w:marBottom w:val="0"/>
                      <w:divBdr>
                        <w:top w:val="none" w:sz="0" w:space="0" w:color="auto"/>
                        <w:left w:val="none" w:sz="0" w:space="0" w:color="auto"/>
                        <w:bottom w:val="none" w:sz="0" w:space="0" w:color="auto"/>
                        <w:right w:val="none" w:sz="0" w:space="0" w:color="auto"/>
                      </w:divBdr>
                    </w:div>
                    <w:div w:id="1562135629">
                      <w:marLeft w:val="0"/>
                      <w:marRight w:val="0"/>
                      <w:marTop w:val="0"/>
                      <w:marBottom w:val="0"/>
                      <w:divBdr>
                        <w:top w:val="none" w:sz="0" w:space="0" w:color="auto"/>
                        <w:left w:val="none" w:sz="0" w:space="0" w:color="auto"/>
                        <w:bottom w:val="none" w:sz="0" w:space="0" w:color="auto"/>
                        <w:right w:val="none" w:sz="0" w:space="0" w:color="auto"/>
                      </w:divBdr>
                    </w:div>
                    <w:div w:id="890534853">
                      <w:marLeft w:val="0"/>
                      <w:marRight w:val="0"/>
                      <w:marTop w:val="0"/>
                      <w:marBottom w:val="0"/>
                      <w:divBdr>
                        <w:top w:val="none" w:sz="0" w:space="0" w:color="auto"/>
                        <w:left w:val="none" w:sz="0" w:space="0" w:color="auto"/>
                        <w:bottom w:val="none" w:sz="0" w:space="0" w:color="auto"/>
                        <w:right w:val="none" w:sz="0" w:space="0" w:color="auto"/>
                      </w:divBdr>
                    </w:div>
                    <w:div w:id="18160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3142-8600-4F09-B4BF-EAD907BC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1</TotalTime>
  <Pages>13</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 Ruiz</cp:lastModifiedBy>
  <cp:revision>3</cp:revision>
  <cp:lastPrinted>2010-08-13T22:58:00Z</cp:lastPrinted>
  <dcterms:created xsi:type="dcterms:W3CDTF">2010-08-12T17:39:00Z</dcterms:created>
  <dcterms:modified xsi:type="dcterms:W3CDTF">2010-08-13T22:58:00Z</dcterms:modified>
</cp:coreProperties>
</file>