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firstLine="720"/>
        <w:jc w:val="right"/>
        <w:rPr>
          <w:b/>
          <w:sz w:val="36"/>
        </w:rPr>
      </w:pPr>
      <w:r>
        <w:rPr>
          <w:b/>
        </w:rPr>
        <w:t>FILED MARCH 22,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CHARLA RAE DUKE,</w:t>
            </w:r>
          </w:p>
          <w:p>
            <w:pPr>
              <w:rPr>
                <w:b/>
                <w:bCs/>
              </w:rPr>
            </w:pPr>
          </w:p>
          <w:p>
            <w:pPr>
              <w:rPr>
                <w:b/>
                <w:bCs/>
              </w:rPr>
            </w:pPr>
            <w:r>
              <w:rPr>
                <w:b/>
                <w:bCs/>
              </w:rPr>
              <w:t>Member No.  95518,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 xml:space="preserve">09-N-10796; 09-O-11123 (Cons.)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Charla Rae Duke (respondent) was charged with (1) failing to comply with all conditions attached to a disciplinary probation; and (2) disobeying and violating a court order requiring respondent to comply with rule 9.20 of the California Rules of Court (CRC) and violating rule 9.20, subdivision (c) of the CRC.  She failed to participate either in person or through counsel, and her default was entered.  The Office of the Chief Trial Counsel (State Bar) filed a petition for disbarment under the Rules of Procedure of the State Bar, rule 5.85.</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16, 1980, and has been a member since then.</w:t>
      </w:r>
    </w:p>
    <w:p>
      <w:pPr>
        <w:spacing w:line="480" w:lineRule="auto"/>
        <w:rPr>
          <w:b/>
        </w:rPr>
      </w:pPr>
      <w:r>
        <w:rPr>
          <w:b/>
        </w:rPr>
        <w:t>Procedural Requirements Have Been Satisfied</w:t>
      </w:r>
    </w:p>
    <w:p>
      <w:pPr>
        <w:spacing w:line="480" w:lineRule="auto"/>
      </w:pPr>
      <w:r>
        <w:rPr>
          <w:b/>
        </w:rPr>
        <w:tab/>
      </w:r>
      <w:r>
        <w:t xml:space="preserve">A 20-day letter was mailed to respondent at her official membership records address on March 18, 2009.  Thereafter, on May 20, 2009, respondent’s resignation with charges pending was filed with the State Bar Court.  The Supreme Court, however, filed an order on October 27, 2010, as amended by order filed November 3, 2010, declining to accept respondent’s voluntary resignation with disciplinary charges pending.      </w:t>
      </w:r>
    </w:p>
    <w:p>
      <w:pPr>
        <w:spacing w:line="480" w:lineRule="auto"/>
        <w:rPr>
          <w:b/>
        </w:rPr>
      </w:pPr>
      <w:r>
        <w:tab/>
        <w:t xml:space="preserve">On March 28, 2011, the State Bar filed the NDC in this matter.  The NDC was properly served on respondent by certified mail, return receipt requested, and by regular mail at her membership records address.  The NDC notified respondent that her failure to participate in the proceeding would result in a disbarment recommendation.  (Rule 5.41.)  A return receipt for certified mail was returned by the U.S. Postal Service bearing an illegible signature. </w:t>
      </w:r>
      <w:r>
        <w:rPr>
          <w:b/>
        </w:rPr>
        <w:t xml:space="preserve"> </w:t>
      </w:r>
    </w:p>
    <w:p>
      <w:pPr>
        <w:spacing w:line="480" w:lineRule="auto"/>
      </w:pPr>
      <w:r>
        <w:rPr>
          <w:b/>
        </w:rPr>
        <w:tab/>
      </w:r>
      <w:r>
        <w:t>The State Bar attempted to reach respondent by sending her an email message at her membership records email address.</w:t>
      </w:r>
      <w:r>
        <w:rPr>
          <w:rStyle w:val="FootnoteReference"/>
        </w:rPr>
        <w:footnoteReference w:id="3"/>
      </w:r>
      <w:r>
        <w:t xml:space="preserve">  The State Bar received automated responses that the email </w:t>
      </w:r>
      <w:r>
        <w:lastRenderedPageBreak/>
        <w:t>message was relayed and “read.”  The State Bar also called directory assistance and asked for telephone listings for respondent as a business or as a residential number in Oakland and/or Alameda County, but an automated announcement revealed that the number is not published.</w:t>
      </w:r>
      <w:r>
        <w:rPr>
          <w:rStyle w:val="FootnoteReference"/>
        </w:rPr>
        <w:footnoteReference w:id="4"/>
      </w:r>
      <w:r>
        <w:t xml:space="preserve">  The State Bar also sent a copy of the motion for entry of default with exhibits by email to respondent’s membership records email address and to an alternate email address.         </w:t>
      </w:r>
    </w:p>
    <w:p>
      <w:pPr>
        <w:spacing w:line="480" w:lineRule="auto"/>
      </w:pPr>
      <w:r>
        <w:rPr>
          <w:b/>
        </w:rPr>
        <w:tab/>
      </w:r>
      <w:r>
        <w:t>Respondent failed to file a response to the NDC.  On May 9, 2011, the State Bar properly served a motion for entry of respondent’s default.  The motion was filed with the court on May 10, 2011.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May 25, 2011.  The order entering the default was served on respondent at her membership records address by certified mail, return receipt requested.  The return receipt was returned by the U.S. Postal Service bearing an illegible signature.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rPr>
          <w:b/>
        </w:rPr>
        <w:tab/>
      </w:r>
      <w:r>
        <w:t xml:space="preserve">Respondent also did not seek to have her default set aside or vacated.  (Rule 5.83(C)(1) [attorney has 180 days to file motion to set aside default].)  On January 4, 2012, the State Bar filed the petition for disbarment.  As required by rule 5.85(A), the State Bar reported in the petition that:  (1) it has had no contact with respondent since the default was entered; (2) there are two additional pending matters against respondent; (3) respondent has a record of prior discipline; and (4) the Client Security Fund has one pending matter regarding a claim for reimbursement resulting from respondent’s conduct.  Respondent did not respond to the petition for disbarment or move to set aside or vacate the default.  The case was submitted for decision on January 31, 2012.    </w:t>
      </w:r>
    </w:p>
    <w:p>
      <w:pPr>
        <w:spacing w:line="480" w:lineRule="auto"/>
      </w:pPr>
      <w:r>
        <w:rPr>
          <w:b/>
        </w:rPr>
        <w:tab/>
      </w:r>
      <w:r>
        <w:t xml:space="preserve">Respondent has a record of prior discipline.  Pursuant to a Supreme Court order filed on June 9, 1993, respondent was suspended for one year, the execution of which was stayed, and she was placed on probation for three years subject to probation conditions including a 90-day suspension and restitution.   The misconduct involved three client matters.  Respondent failed to perform competently, failed to deposit entrusted funds into a client trust account, withdrew from employment without taking reasonable steps to avoid reasonably foreseeable prejudice to a client’s rights; failed to communicate; and failed to promptly refund unearned fees and deliver a client file.  Respondent and the State Bar entered into a stipulation as to facts, conclusions of law and the disposition in this matter.    </w:t>
      </w:r>
    </w:p>
    <w:p>
      <w:pPr>
        <w:spacing w:line="480" w:lineRule="auto"/>
      </w:pPr>
      <w:r>
        <w:tab/>
        <w:t>Pursuant to a Supreme Court order filed on November 30, 1998, respondent was suspended for two years and until she has shown proof of her rehabilitation, fitness to practice and learning and ability in the general law, the execution of which was stayed, and she was placed on probation for three years subject to probation conditions including a 60-day suspension.  Respondent was disciplined for her conviction for violating 26 U.S. C. § 7203 for failing to file tax returns for three years, conduct constituting other misconduct warranting discipline.</w:t>
      </w:r>
      <w:r>
        <w:rPr>
          <w:b/>
        </w:rPr>
        <w:t xml:space="preserve">  </w:t>
      </w:r>
      <w:r>
        <w:t>Respondent and the State Bar entered into a stipulation as to facts, conclusions of law and the disposition in this matter.</w:t>
      </w:r>
    </w:p>
    <w:p>
      <w:pPr>
        <w:spacing w:line="480" w:lineRule="auto"/>
      </w:pPr>
      <w:r>
        <w:rPr>
          <w:b/>
        </w:rPr>
        <w:tab/>
      </w:r>
      <w:r>
        <w:t xml:space="preserve">Pursuant to a Supreme Court order filed on August 13, 2008, respondent was suspended for three years, the execution of which was stayed, and she was placed on probation for three years on condition that she be suspended for the first two years of probation and until she provides proof of her rehabilitation, fitness to practice, and learning and ability in the general law.  Respondent stipulated to three violations of professional misconduct involving her client trust account, including commingling of client and personal funds, failing to preserve the identity of client funds, and issuing insufficiently funded checks.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 </w:t>
      </w:r>
    </w:p>
    <w:p>
      <w:pPr>
        <w:spacing w:line="480" w:lineRule="auto"/>
        <w:rPr>
          <w:b/>
        </w:rPr>
      </w:pPr>
      <w:r>
        <w:tab/>
      </w:r>
      <w:r>
        <w:rPr>
          <w:b/>
        </w:rPr>
        <w:t>1.</w:t>
      </w:r>
      <w:r>
        <w:rPr>
          <w:b/>
        </w:rPr>
        <w:tab/>
        <w:t>Case Number 09-O-11123 (Probation Matter)</w:t>
      </w:r>
    </w:p>
    <w:p>
      <w:pPr>
        <w:spacing w:line="480" w:lineRule="auto"/>
      </w:pPr>
      <w:r>
        <w:rPr>
          <w:b/>
        </w:rPr>
        <w:tab/>
      </w:r>
      <w:r>
        <w:t xml:space="preserve">Count One  - respondent violated Business and Professions Code section 6068, subdivision (k) (duty to comply with probation conditions), by failing to comply with all conditions attached to the disciplinary probation ordered by the Supreme Court in its Order filed on August 13, 2008. </w:t>
      </w:r>
    </w:p>
    <w:p>
      <w:pPr>
        <w:spacing w:line="480" w:lineRule="auto"/>
        <w:rPr>
          <w:b/>
        </w:rPr>
      </w:pPr>
      <w:r>
        <w:tab/>
      </w:r>
      <w:r>
        <w:rPr>
          <w:b/>
        </w:rPr>
        <w:t>2.</w:t>
      </w:r>
      <w:r>
        <w:rPr>
          <w:b/>
        </w:rPr>
        <w:tab/>
        <w:t>Case Number 09-N-10796 (Rule 9.20 Matter)</w:t>
      </w:r>
    </w:p>
    <w:p>
      <w:pPr>
        <w:spacing w:line="480" w:lineRule="auto"/>
      </w:pPr>
      <w:r>
        <w:rPr>
          <w:b/>
        </w:rPr>
        <w:tab/>
      </w:r>
      <w:r>
        <w:t>Count Two</w:t>
      </w:r>
      <w:r>
        <w:rPr>
          <w:b/>
        </w:rPr>
        <w:t xml:space="preserve"> - </w:t>
      </w:r>
      <w:r>
        <w:t xml:space="preserve">respondent violated CRC, rule 9.20(c) (duties of disbarred, resigned or suspended attorneys –proof of compliance) and Business and Professions Code section 6103 (violation of court order) by failing to submit a timely rule 9.20(c) compliance declaration as ordered by the Supreme Court in its August 13, 2008, Order.       </w:t>
      </w:r>
      <w:r>
        <w:tab/>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rPr>
          <w:b/>
        </w:rPr>
      </w:pPr>
      <w:r>
        <w:tab/>
        <w:t xml:space="preserve">(2) reasonable diligence was used to notify respondent of the proceedings prior to the entry of her default, as the NDC was served on respondent at her membership records address by both certified and regular mail; the State Bar attempted to reach respondent by email at her membership records email address; the State Bar contacted directory assistance to try to obtain a telephone number for respondent; and the State Bar sent a copy of the motion for entry of default with exhibits by email to two email addresses for respondent;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must recommend her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Charla Rae Duke be disbarred from the practice of law in the State of California and that her name be stricken from the roll of attorneys.</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rPr>
          <w:b/>
        </w:rPr>
      </w:pPr>
      <w:r>
        <w:rPr>
          <w:b/>
        </w:rPr>
        <w:t>/ / /</w:t>
      </w:r>
      <w:r>
        <w:rPr>
          <w:b/>
        </w:rPr>
        <w:br w:type="page"/>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Charla Rae Duke, State Bar number 95518, be involuntarily enrolled as an inactive member of the State Bar of California, effective three calendar days after the service of this decision and order.  (Rules Proc. of State Bar,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April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 w:id="4">
    <w:p>
      <w:pPr>
        <w:pStyle w:val="FootnoteText"/>
      </w:pPr>
      <w:r>
        <w:rPr>
          <w:rStyle w:val="FootnoteReference"/>
        </w:rPr>
        <w:footnoteRef/>
      </w:r>
      <w:r>
        <w:t xml:space="preserve"> An attempt by a Case Administrator to reach respondent for a status conference at her official membership records telephone number was unsuccessful as the number was disconnected.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1779</Words>
  <Characters>9310</Characters>
  <Application>Microsoft Office Word</Application>
  <DocSecurity>0</DocSecurity>
  <Lines>179</Lines>
  <Paragraphs>68</Paragraphs>
  <ScaleCrop>false</ScaleCrop>
  <Manager/>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2012-04-05T21:44:00Z</dcterms:created>
  <dcterms:modified xsi:type="dcterms:W3CDTF">2012-04-05T21:44:00Z</dcterms:modified>
  <cp:category/>
  <cp:contentType/>
  <cp:contentStatus/>
  <cp:version>0</cp:version>
</cp:coreProperties>
</file>