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rPr>
      </w:pPr>
      <w:r>
        <w:rPr>
          <w:b/>
        </w:rPr>
        <w:t>FILED JULY 9, 2012</w:t>
      </w:r>
    </w:p>
    <w:p>
      <w:pPr>
        <w:jc w:val="center"/>
        <w:rPr>
          <w:b/>
          <w:sz w:val="36"/>
        </w:rPr>
      </w:pPr>
      <w:r>
        <w:rPr>
          <w:b/>
        </w:rPr>
        <w:t>PUBLIC MATTER</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COLBERN COX STUART, III,</w:t>
            </w:r>
          </w:p>
          <w:p>
            <w:pPr>
              <w:rPr>
                <w:b/>
                <w:bCs/>
              </w:rPr>
            </w:pPr>
          </w:p>
          <w:p>
            <w:pPr>
              <w:rPr>
                <w:b/>
                <w:bCs/>
              </w:rPr>
            </w:pPr>
            <w:r>
              <w:rPr>
                <w:b/>
                <w:bCs/>
              </w:rPr>
              <w:t>Member No.  177897,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10-C-03559-RAH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Colbern Cox Stuart, III, was convicted of violating Penal Code sections 653m(a) (harassing by telephone) and 653m(b) (repeated harassing by telephone or electronic contact), misdemeanors which may or may not involve moral turpitude or constitute other misconduct warranting discipline.  Upon finality of the conviction, the review department issued an order referring this matter to the hearing department for a hearing and decision recommending the discipline to be imposed if the facts and circumstances surrounding the violations involved moral turpitude or other misconduct warranting discipline.  Respondent did not participate either in person or through counsel, and his default was entered.  The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w:t>
      </w:r>
      <w:r>
        <w:lastRenderedPageBreak/>
        <w:t>an attorney’s default is entered for not responding to the notice of hearing on conviction (NOH), and the attorney does not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November 22, 1995, and has been a member since then.</w:t>
      </w:r>
    </w:p>
    <w:p>
      <w:pPr>
        <w:spacing w:line="480" w:lineRule="auto"/>
        <w:rPr>
          <w:b/>
        </w:rPr>
      </w:pPr>
      <w:r>
        <w:rPr>
          <w:b/>
        </w:rPr>
        <w:t>Procedural Requirements Have Been Satisfied</w:t>
      </w:r>
    </w:p>
    <w:p>
      <w:pPr>
        <w:spacing w:line="480" w:lineRule="auto"/>
      </w:pPr>
      <w:r>
        <w:rPr>
          <w:b/>
        </w:rPr>
        <w:tab/>
      </w:r>
      <w:r>
        <w:t xml:space="preserve">On July 21, 2011, the State Bar Court filed and properly served the NOH on respondent by certified mail, return receipt requested, at his membership records address.  The NOH notified respondent that his failure to participate in the proceeding would result in a disbarment recommendation.  (Rule 5.345.)  </w:t>
      </w:r>
    </w:p>
    <w:p>
      <w:pPr>
        <w:spacing w:line="480" w:lineRule="auto"/>
      </w:pPr>
      <w:r>
        <w:rPr>
          <w:b/>
        </w:rPr>
        <w:tab/>
      </w:r>
      <w:r>
        <w:t>Respondent participated at a September 1, 2011, status conference and thereafter had a lengthy conversation with the deputy trial counsel (DTC) in this matter.  On September 2, 2011, the State Bar sent respondent a letter to an address he provided to the DTC.  Also, respondent contacted the State Bar by email on September 21, 2011, inquiring about the status of his default.</w:t>
      </w:r>
    </w:p>
    <w:p>
      <w:pPr>
        <w:spacing w:line="480" w:lineRule="auto"/>
      </w:pPr>
      <w:r>
        <w:rPr>
          <w:b/>
        </w:rPr>
        <w:tab/>
      </w:r>
      <w:r>
        <w:t>Respondent did not file a response to the NOH.  On October 12, 2011, the State Bar filed and properly served a motion for entry of respondent’s default at his membership records and at an alternate address he provided.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October 31,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May 7, 2012, the State Bar filed and properly served the petition for disbarment at respondent’s membership records address and at two alternate addresses.  As required by rule 5.85(A), the State Bar reported in the petition that:  (1) it has had no contact with respondent since the default was entered except for two voicemails respondent left for the DTC in this matter on November 1 and 4, 2011, indicating his intent to oppose the default.  Also on November 4, 2011, the State Bar received from respondent a pleading entitled “Opposition” which bore no proof of service and was not filed with the court; (2) there are no pending disciplinary investigations against respondent; (3) respondent has no prior record of discipline; and (4) the Client Security Fund has not made any payments resulting from respondent’s conduct.  </w:t>
      </w:r>
    </w:p>
    <w:p>
      <w:pPr>
        <w:spacing w:line="480" w:lineRule="auto"/>
      </w:pPr>
      <w:r>
        <w:tab/>
        <w:t xml:space="preserve">Respondent did not respond to the petition for disbarment or move to set aside or vacate the default.  The case was submitted for decision on June 4,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set forth in the State Bar’s statement of facts and circumstances surrounding respondent’s conviction are deemed admitted and no further proof is required to establish the truth of such facts.  (Rules 5.345(C) &amp; 5.82.)  As set forth below in greater detail, respondent’s conviction for harassing by telephone and repeated harassing by telephone or electronic contact support the conclusion that respondent violated a statute, rule or court order that would warrant the imposition of discipline.  (Rule 5.85(E)(1)(d).) </w:t>
      </w:r>
    </w:p>
    <w:p>
      <w:pPr>
        <w:ind w:left="720"/>
        <w:rPr>
          <w:b/>
        </w:rPr>
      </w:pPr>
      <w:r>
        <w:rPr>
          <w:b/>
        </w:rPr>
        <w:t>Case Number 10-C-03559 (Conviction Matter)</w:t>
      </w:r>
    </w:p>
    <w:p>
      <w:pPr>
        <w:ind w:left="720"/>
        <w:rPr>
          <w:b/>
        </w:rPr>
      </w:pPr>
      <w:r>
        <w:rPr>
          <w:b/>
        </w:rPr>
        <w:tab/>
      </w:r>
      <w:r>
        <w:rPr>
          <w:b/>
        </w:rPr>
        <w:tab/>
      </w:r>
    </w:p>
    <w:p>
      <w:pPr>
        <w:spacing w:line="480" w:lineRule="auto"/>
      </w:pPr>
      <w:r>
        <w:rPr>
          <w:b/>
        </w:rPr>
        <w:tab/>
      </w:r>
      <w:r>
        <w:t>Respondent was convicted of violating Penal Code sections 653m(a) (15 counts) and 653m(b) (two counts) because he created, generated and caused to be transmitted a series of approximately 21 or more emails and/or telephone calls to his former spouse that were threatening, obscene and calculated to harass, intimidate and frighten.</w:t>
      </w:r>
    </w:p>
    <w:p>
      <w:pPr>
        <w:spacing w:line="480" w:lineRule="auto"/>
      </w:pPr>
      <w:r>
        <w:tab/>
        <w:t xml:space="preserve">Harassing by telephone and repeated harassing by telephone or electronic contact are crimes that may or may not involve moral turpitude or other misconduct warranting discipline, depending upon the facts and circumstances surrounding the conviction.  The court finds that the facts and circumstances surrounding respondent’s conviction involve moral turpitude.  Conviction of a crime involving moral turpitude is cause for discipline.  (Bus. &amp; Prof. Code, §6101, subd. (a).)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NOH was properly served on respondent under rule 5.25; </w:t>
      </w:r>
    </w:p>
    <w:p>
      <w:pPr>
        <w:spacing w:line="480" w:lineRule="auto"/>
      </w:pPr>
      <w:r>
        <w:rPr>
          <w:b/>
        </w:rPr>
        <w:tab/>
      </w:r>
      <w:r>
        <w:t>(2) respondent had actual notice of this proceeding as he participated in a status conference, spoke to the DTC and contacted the State Bar by email;</w:t>
      </w:r>
    </w:p>
    <w:p>
      <w:pPr>
        <w:spacing w:line="480" w:lineRule="auto"/>
      </w:pPr>
      <w:r>
        <w:rPr>
          <w:b/>
        </w:rPr>
        <w:tab/>
      </w:r>
      <w:r>
        <w:t>(3) the default was properly entered under rule 5.80; and</w:t>
      </w:r>
    </w:p>
    <w:p>
      <w:pPr>
        <w:spacing w:line="480" w:lineRule="auto"/>
      </w:pPr>
      <w:r>
        <w:rPr>
          <w:b/>
        </w:rPr>
        <w:tab/>
      </w:r>
      <w:r>
        <w:t>(4) the factual allegations in the statement of facts and circumstances surrounding respondent’s conviction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Colbern Cox Stuart, III, be disbarred from the practice of law in the State of California and that his name be stricken from the roll of attorneys.</w:t>
      </w:r>
    </w:p>
    <w:p>
      <w:pPr>
        <w:spacing w:line="480" w:lineRule="auto"/>
        <w:rPr>
          <w:b/>
        </w:rPr>
      </w:pPr>
      <w:r>
        <w:rPr>
          <w:b/>
        </w:rPr>
        <w:t>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Colbern Cox Stuart, III, State Bar number 177897, be involuntarily enrolled as </w:t>
      </w:r>
    </w:p>
    <w:p>
      <w:pPr>
        <w:spacing w:line="480" w:lineRule="auto"/>
      </w:pPr>
    </w:p>
    <w:p>
      <w:pPr>
        <w:spacing w:line="480" w:lineRule="auto"/>
      </w:pPr>
    </w:p>
    <w:p>
      <w:pPr>
        <w:spacing w:line="480" w:lineRule="auto"/>
      </w:pPr>
      <w:r>
        <w:t>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July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  Rule 5.345(C) makes the default procedures in rules 5.80-5.86, with certain exceptions, applicable in conviction proceedings.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pPQI7z2E0t+Nk2M6ambmXeF24JQ=" w:salt="RtULeqaIZavE4d1US79D+w=="/>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7323</Characters>
  <Application>Microsoft Office Word</Application>
  <DocSecurity>0</DocSecurity>
  <Lines>149</Lines>
  <Paragraphs>64</Paragraphs>
  <ScaleCrop>false</ScaleCrop>
  <Manager/>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2012-07-14T02:16:00Z</dcterms:created>
  <dcterms:modified xsi:type="dcterms:W3CDTF">2012-07-14T02:16:00Z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