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0B0" w:rsidRPr="00E43078" w:rsidRDefault="00E43078" w:rsidP="00E43078">
      <w:pPr>
        <w:jc w:val="right"/>
        <w:rPr>
          <w:b/>
          <w:sz w:val="36"/>
        </w:rPr>
      </w:pPr>
      <w:r w:rsidRPr="00E43078">
        <w:rPr>
          <w:b/>
        </w:rPr>
        <w:t>FILED MARCH 21, 2011</w:t>
      </w:r>
    </w:p>
    <w:p w:rsidR="00BD10B0" w:rsidRDefault="00BD10B0"/>
    <w:p w:rsidR="006C4EDB" w:rsidRDefault="006C4EDB"/>
    <w:p w:rsidR="004430E3" w:rsidRDefault="004430E3"/>
    <w:p w:rsidR="004430E3" w:rsidRDefault="004430E3"/>
    <w:p w:rsidR="006C4EDB" w:rsidRDefault="006C4EDB"/>
    <w:p w:rsidR="00A01208" w:rsidRDefault="00A01208"/>
    <w:p w:rsidR="003D3B12" w:rsidRDefault="003D3B12"/>
    <w:p w:rsidR="003D3B12" w:rsidRDefault="003D3B12">
      <w:pPr>
        <w:pStyle w:val="Heading1"/>
      </w:pPr>
      <w:r>
        <w:t>STATE BAR COURT OF CALIFORNIA</w:t>
      </w:r>
    </w:p>
    <w:p w:rsidR="003D3B12" w:rsidRDefault="003D3B12">
      <w:pPr>
        <w:spacing w:line="480" w:lineRule="auto"/>
        <w:jc w:val="center"/>
        <w:rPr>
          <w:b/>
          <w:bCs/>
        </w:rPr>
      </w:pPr>
      <w:r>
        <w:rPr>
          <w:b/>
          <w:bCs/>
        </w:rPr>
        <w:t xml:space="preserve">HEARING DEPARTMENT – </w:t>
      </w:r>
      <w:bookmarkStart w:id="0" w:name="venue"/>
      <w:bookmarkEnd w:id="0"/>
      <w:r w:rsidR="0016103A">
        <w:rPr>
          <w:b/>
          <w:bCs/>
        </w:rPr>
        <w:t>SAN FRANCISCO</w:t>
      </w:r>
    </w:p>
    <w:p w:rsidR="003D3B12" w:rsidRDefault="003D3B12">
      <w:pPr>
        <w:spacing w:line="480" w:lineRule="auto"/>
        <w:jc w:val="center"/>
        <w:rPr>
          <w:b/>
          <w:bCs/>
        </w:rPr>
      </w:pPr>
    </w:p>
    <w:p w:rsidR="003D3B12" w:rsidRDefault="003D3B12">
      <w:pPr>
        <w:spacing w:line="480" w:lineRule="auto"/>
        <w:rPr>
          <w:b/>
          <w:bCs/>
        </w:rPr>
      </w:pPr>
    </w:p>
    <w:tbl>
      <w:tblPr>
        <w:tblW w:w="0" w:type="auto"/>
        <w:tblInd w:w="5" w:type="dxa"/>
        <w:tblBorders>
          <w:bottom w:val="single" w:sz="4" w:space="0" w:color="auto"/>
        </w:tblBorders>
        <w:tblCellMar>
          <w:left w:w="0" w:type="dxa"/>
          <w:right w:w="0" w:type="dxa"/>
        </w:tblCellMar>
        <w:tblLook w:val="0000"/>
      </w:tblPr>
      <w:tblGrid>
        <w:gridCol w:w="4373"/>
        <w:gridCol w:w="182"/>
        <w:gridCol w:w="240"/>
        <w:gridCol w:w="1096"/>
        <w:gridCol w:w="3464"/>
      </w:tblGrid>
      <w:tr w:rsidR="003D3B12">
        <w:trPr>
          <w:cantSplit/>
          <w:trHeight w:val="462"/>
        </w:trPr>
        <w:tc>
          <w:tcPr>
            <w:tcW w:w="4378" w:type="dxa"/>
            <w:vMerge w:val="restart"/>
          </w:tcPr>
          <w:p w:rsidR="003D3B12" w:rsidRDefault="003D3B12">
            <w:r>
              <w:t>In the Matter of</w:t>
            </w:r>
          </w:p>
          <w:p w:rsidR="003D3B12" w:rsidRDefault="003D3B12">
            <w:pPr>
              <w:rPr>
                <w:b/>
                <w:bCs/>
              </w:rPr>
            </w:pPr>
          </w:p>
          <w:p w:rsidR="003D3B12" w:rsidRDefault="004B5DD9">
            <w:pPr>
              <w:rPr>
                <w:b/>
                <w:bCs/>
              </w:rPr>
            </w:pPr>
            <w:bookmarkStart w:id="1" w:name="resp"/>
            <w:bookmarkEnd w:id="1"/>
            <w:r>
              <w:rPr>
                <w:b/>
                <w:bCs/>
              </w:rPr>
              <w:t>SEAN DONRAD</w:t>
            </w:r>
          </w:p>
          <w:p w:rsidR="003D3B12" w:rsidRDefault="003D3B12">
            <w:pPr>
              <w:rPr>
                <w:b/>
                <w:bCs/>
              </w:rPr>
            </w:pPr>
          </w:p>
          <w:p w:rsidR="003D3B12" w:rsidRDefault="003D3B12">
            <w:pPr>
              <w:rPr>
                <w:b/>
                <w:bCs/>
              </w:rPr>
            </w:pPr>
            <w:r>
              <w:rPr>
                <w:b/>
                <w:bCs/>
              </w:rPr>
              <w:t xml:space="preserve">Member No. </w:t>
            </w:r>
            <w:bookmarkStart w:id="2" w:name="member"/>
            <w:bookmarkEnd w:id="2"/>
            <w:r w:rsidR="004B5DD9">
              <w:rPr>
                <w:b/>
                <w:bCs/>
              </w:rPr>
              <w:t>242665</w:t>
            </w:r>
          </w:p>
          <w:p w:rsidR="003D3B12" w:rsidRDefault="003D3B12">
            <w:pPr>
              <w:rPr>
                <w:b/>
                <w:bCs/>
              </w:rPr>
            </w:pPr>
          </w:p>
          <w:p w:rsidR="003D3B12" w:rsidRDefault="00B31AB1">
            <w:bookmarkStart w:id="3" w:name="type"/>
            <w:bookmarkEnd w:id="3"/>
            <w:r>
              <w:t>A Member of the State Bar.</w:t>
            </w:r>
          </w:p>
        </w:tc>
        <w:tc>
          <w:tcPr>
            <w:tcW w:w="182" w:type="dxa"/>
            <w:vMerge w:val="restart"/>
            <w:tcBorders>
              <w:bottom w:val="nil"/>
            </w:tcBorders>
          </w:tcPr>
          <w:p w:rsidR="003D3B12" w:rsidRDefault="003D3B12">
            <w:pPr>
              <w:rPr>
                <w:b/>
                <w:bCs/>
              </w:rPr>
            </w:pPr>
            <w:r>
              <w:rPr>
                <w:b/>
                <w:bCs/>
              </w:rPr>
              <w:t>)</w:t>
            </w:r>
          </w:p>
          <w:p w:rsidR="003D3B12" w:rsidRDefault="003D3B12">
            <w:pPr>
              <w:rPr>
                <w:b/>
                <w:bCs/>
              </w:rPr>
            </w:pPr>
            <w:r>
              <w:rPr>
                <w:b/>
                <w:bCs/>
              </w:rPr>
              <w:t>)</w:t>
            </w:r>
          </w:p>
          <w:p w:rsidR="003D3B12" w:rsidRDefault="003D3B12">
            <w:pPr>
              <w:rPr>
                <w:b/>
                <w:bCs/>
              </w:rPr>
            </w:pPr>
            <w:r>
              <w:rPr>
                <w:b/>
                <w:bCs/>
              </w:rPr>
              <w:t>)</w:t>
            </w:r>
          </w:p>
          <w:p w:rsidR="003D3B12" w:rsidRDefault="003D3B12">
            <w:pPr>
              <w:rPr>
                <w:b/>
                <w:bCs/>
              </w:rPr>
            </w:pPr>
            <w:r>
              <w:rPr>
                <w:b/>
                <w:bCs/>
              </w:rPr>
              <w:t>)</w:t>
            </w:r>
          </w:p>
          <w:p w:rsidR="003D3B12" w:rsidRDefault="003D3B12">
            <w:pPr>
              <w:rPr>
                <w:b/>
                <w:bCs/>
              </w:rPr>
            </w:pPr>
            <w:r>
              <w:rPr>
                <w:b/>
                <w:bCs/>
              </w:rPr>
              <w:t>)</w:t>
            </w:r>
          </w:p>
          <w:p w:rsidR="003D3B12" w:rsidRDefault="003D3B12">
            <w:pPr>
              <w:rPr>
                <w:b/>
                <w:bCs/>
              </w:rPr>
            </w:pPr>
            <w:r>
              <w:rPr>
                <w:b/>
                <w:bCs/>
              </w:rPr>
              <w:t>)</w:t>
            </w:r>
          </w:p>
          <w:p w:rsidR="003D3B12" w:rsidRDefault="003D3B12">
            <w:pPr>
              <w:rPr>
                <w:b/>
                <w:bCs/>
              </w:rPr>
            </w:pPr>
            <w:r>
              <w:rPr>
                <w:b/>
                <w:bCs/>
              </w:rPr>
              <w:t>)</w:t>
            </w:r>
          </w:p>
        </w:tc>
        <w:tc>
          <w:tcPr>
            <w:tcW w:w="240" w:type="dxa"/>
            <w:vMerge w:val="restart"/>
            <w:tcBorders>
              <w:bottom w:val="nil"/>
            </w:tcBorders>
          </w:tcPr>
          <w:p w:rsidR="003D3B12" w:rsidRDefault="003D3B12">
            <w:pPr>
              <w:rPr>
                <w:b/>
                <w:bCs/>
              </w:rPr>
            </w:pPr>
          </w:p>
        </w:tc>
        <w:tc>
          <w:tcPr>
            <w:tcW w:w="1097" w:type="dxa"/>
            <w:tcBorders>
              <w:bottom w:val="nil"/>
            </w:tcBorders>
          </w:tcPr>
          <w:p w:rsidR="003D3B12" w:rsidRDefault="003D3B12">
            <w:r>
              <w:t>Case No.:</w:t>
            </w:r>
          </w:p>
        </w:tc>
        <w:tc>
          <w:tcPr>
            <w:tcW w:w="3468" w:type="dxa"/>
          </w:tcPr>
          <w:p w:rsidR="003D3B12" w:rsidRDefault="005F63AB" w:rsidP="00F43EFC">
            <w:pPr>
              <w:rPr>
                <w:b/>
                <w:bCs/>
              </w:rPr>
            </w:pPr>
            <w:bookmarkStart w:id="4" w:name="caseno"/>
            <w:bookmarkEnd w:id="4"/>
            <w:r>
              <w:rPr>
                <w:b/>
                <w:bCs/>
              </w:rPr>
              <w:t>10</w:t>
            </w:r>
            <w:r w:rsidR="00C64DEB">
              <w:rPr>
                <w:b/>
                <w:bCs/>
              </w:rPr>
              <w:t>-O-</w:t>
            </w:r>
            <w:r w:rsidR="00095EF2">
              <w:rPr>
                <w:b/>
                <w:bCs/>
              </w:rPr>
              <w:t>05018</w:t>
            </w:r>
            <w:r w:rsidR="00C64DEB">
              <w:rPr>
                <w:b/>
                <w:bCs/>
              </w:rPr>
              <w:t>-PEM</w:t>
            </w:r>
          </w:p>
          <w:p w:rsidR="00C64DEB" w:rsidRPr="0016103A" w:rsidRDefault="00C64DEB" w:rsidP="005F63AB">
            <w:pPr>
              <w:rPr>
                <w:bCs/>
              </w:rPr>
            </w:pPr>
          </w:p>
        </w:tc>
      </w:tr>
      <w:tr w:rsidR="003D3B12" w:rsidTr="00C64DEB">
        <w:trPr>
          <w:cantSplit/>
          <w:trHeight w:val="1350"/>
        </w:trPr>
        <w:tc>
          <w:tcPr>
            <w:tcW w:w="4378" w:type="dxa"/>
            <w:vMerge/>
          </w:tcPr>
          <w:p w:rsidR="003D3B12" w:rsidRDefault="003D3B12"/>
        </w:tc>
        <w:tc>
          <w:tcPr>
            <w:tcW w:w="182" w:type="dxa"/>
            <w:vMerge/>
            <w:tcBorders>
              <w:bottom w:val="nil"/>
            </w:tcBorders>
          </w:tcPr>
          <w:p w:rsidR="003D3B12" w:rsidRDefault="003D3B12">
            <w:pPr>
              <w:rPr>
                <w:b/>
                <w:bCs/>
              </w:rPr>
            </w:pPr>
          </w:p>
        </w:tc>
        <w:tc>
          <w:tcPr>
            <w:tcW w:w="240" w:type="dxa"/>
            <w:vMerge/>
            <w:tcBorders>
              <w:bottom w:val="nil"/>
            </w:tcBorders>
          </w:tcPr>
          <w:p w:rsidR="003D3B12" w:rsidRDefault="003D3B12">
            <w:pPr>
              <w:rPr>
                <w:b/>
                <w:bCs/>
              </w:rPr>
            </w:pPr>
          </w:p>
        </w:tc>
        <w:tc>
          <w:tcPr>
            <w:tcW w:w="4565" w:type="dxa"/>
            <w:gridSpan w:val="2"/>
            <w:tcBorders>
              <w:bottom w:val="nil"/>
            </w:tcBorders>
          </w:tcPr>
          <w:p w:rsidR="007255CB" w:rsidRDefault="007255CB" w:rsidP="007255CB">
            <w:pPr>
              <w:rPr>
                <w:b/>
                <w:bCs/>
              </w:rPr>
            </w:pPr>
            <w:bookmarkStart w:id="5" w:name="title"/>
            <w:bookmarkEnd w:id="5"/>
          </w:p>
          <w:p w:rsidR="003D3B12" w:rsidRDefault="00B31AB1" w:rsidP="007255CB">
            <w:pPr>
              <w:rPr>
                <w:b/>
                <w:bCs/>
              </w:rPr>
            </w:pPr>
            <w:r>
              <w:rPr>
                <w:b/>
                <w:bCs/>
              </w:rPr>
              <w:t>DECISION</w:t>
            </w:r>
          </w:p>
        </w:tc>
      </w:tr>
    </w:tbl>
    <w:p w:rsidR="003D3B12" w:rsidRDefault="003D3B12">
      <w:pPr>
        <w:spacing w:line="480" w:lineRule="auto"/>
      </w:pPr>
    </w:p>
    <w:p w:rsidR="00B31AB1" w:rsidRPr="00097646" w:rsidRDefault="00097646" w:rsidP="00B379DE">
      <w:pPr>
        <w:tabs>
          <w:tab w:val="center" w:pos="4680"/>
        </w:tabs>
        <w:spacing w:line="480" w:lineRule="auto"/>
        <w:jc w:val="center"/>
      </w:pPr>
      <w:r w:rsidRPr="00097646">
        <w:rPr>
          <w:b/>
        </w:rPr>
        <w:t xml:space="preserve">I.  </w:t>
      </w:r>
      <w:r w:rsidR="00B31AB1" w:rsidRPr="00097646">
        <w:rPr>
          <w:b/>
          <w:bCs/>
        </w:rPr>
        <w:t>I</w:t>
      </w:r>
      <w:r w:rsidRPr="00097646">
        <w:rPr>
          <w:b/>
          <w:bCs/>
        </w:rPr>
        <w:t xml:space="preserve">ntroduction and </w:t>
      </w:r>
      <w:r w:rsidR="00B31AB1" w:rsidRPr="00097646">
        <w:rPr>
          <w:b/>
          <w:bCs/>
        </w:rPr>
        <w:t>P</w:t>
      </w:r>
      <w:r w:rsidRPr="00097646">
        <w:rPr>
          <w:b/>
          <w:bCs/>
        </w:rPr>
        <w:t>ertinent</w:t>
      </w:r>
      <w:r w:rsidR="00B31AB1" w:rsidRPr="00097646">
        <w:rPr>
          <w:b/>
          <w:bCs/>
        </w:rPr>
        <w:t xml:space="preserve"> P</w:t>
      </w:r>
      <w:r w:rsidRPr="00097646">
        <w:rPr>
          <w:b/>
          <w:bCs/>
        </w:rPr>
        <w:t>rocedural</w:t>
      </w:r>
      <w:r w:rsidR="00B31AB1" w:rsidRPr="00097646">
        <w:rPr>
          <w:b/>
          <w:bCs/>
        </w:rPr>
        <w:t xml:space="preserve"> H</w:t>
      </w:r>
      <w:r w:rsidRPr="00097646">
        <w:rPr>
          <w:b/>
          <w:bCs/>
        </w:rPr>
        <w:t>istory</w:t>
      </w:r>
    </w:p>
    <w:p w:rsidR="00B31AB1" w:rsidRDefault="00B31AB1" w:rsidP="00B379DE">
      <w:pPr>
        <w:spacing w:line="480" w:lineRule="auto"/>
        <w:ind w:firstLine="720"/>
      </w:pPr>
      <w:r>
        <w:t xml:space="preserve">This default matter was submitted for decision on </w:t>
      </w:r>
      <w:r w:rsidR="000E2DA1">
        <w:t>January 24, 2011</w:t>
      </w:r>
      <w:r>
        <w:t>.  At the time of submission, the State Bar of California (</w:t>
      </w:r>
      <w:r w:rsidR="00EC4172">
        <w:t>“</w:t>
      </w:r>
      <w:r>
        <w:t>State Bar</w:t>
      </w:r>
      <w:r w:rsidR="00EC4172">
        <w:t>”</w:t>
      </w:r>
      <w:r>
        <w:t xml:space="preserve">) was represented in this matter by Deputy Trial Counsel </w:t>
      </w:r>
      <w:r w:rsidR="00CD083C">
        <w:t>Mark Hartman</w:t>
      </w:r>
      <w:r>
        <w:t xml:space="preserve">.  Respondent </w:t>
      </w:r>
      <w:r w:rsidR="00CD083C">
        <w:t>Sean Donrad</w:t>
      </w:r>
      <w:r>
        <w:t xml:space="preserve"> (</w:t>
      </w:r>
      <w:r w:rsidR="000E0A69">
        <w:t>“</w:t>
      </w:r>
      <w:r>
        <w:t>respondent</w:t>
      </w:r>
      <w:r w:rsidR="000E0A69">
        <w:t>”</w:t>
      </w:r>
      <w:r>
        <w:t xml:space="preserve">) failed to </w:t>
      </w:r>
      <w:r w:rsidR="00146AB8">
        <w:t xml:space="preserve">timely </w:t>
      </w:r>
      <w:r>
        <w:t>participate in this matter.</w:t>
      </w:r>
      <w:r w:rsidR="005D1CF2">
        <w:t xml:space="preserve">  </w:t>
      </w:r>
    </w:p>
    <w:p w:rsidR="00B31AB1" w:rsidRDefault="00B31AB1" w:rsidP="00B379DE">
      <w:pPr>
        <w:spacing w:line="480" w:lineRule="auto"/>
        <w:ind w:firstLine="720"/>
      </w:pPr>
      <w:r>
        <w:t>The State Bar filed a Notice of Disciplinary Charges (</w:t>
      </w:r>
      <w:r w:rsidR="00EC4172">
        <w:t>“</w:t>
      </w:r>
      <w:r>
        <w:t>NDC</w:t>
      </w:r>
      <w:r w:rsidR="00EC4172">
        <w:t>”</w:t>
      </w:r>
      <w:r>
        <w:t xml:space="preserve">) against respondent on </w:t>
      </w:r>
      <w:r w:rsidR="000E2DA1">
        <w:t xml:space="preserve">October </w:t>
      </w:r>
      <w:r w:rsidR="00FF0B9C">
        <w:t>29</w:t>
      </w:r>
      <w:r w:rsidR="000E2DA1">
        <w:t>, 2010</w:t>
      </w:r>
      <w:r>
        <w:t xml:space="preserve">.  </w:t>
      </w:r>
      <w:r w:rsidR="00BC570D">
        <w:t>That same day, a</w:t>
      </w:r>
      <w:r>
        <w:t xml:space="preserve"> copy of the NDC was properly served on respondent in the manner set forth in rule 60 of the </w:t>
      </w:r>
      <w:r w:rsidR="000E2DA1">
        <w:t xml:space="preserve">Former </w:t>
      </w:r>
      <w:r>
        <w:t>Rules of Procedure of the State Bar of California</w:t>
      </w:r>
      <w:r w:rsidR="006C4EDB">
        <w:t xml:space="preserve"> (“Former Rules of Procedure</w:t>
      </w:r>
      <w:r w:rsidR="005D0316">
        <w:t>”</w:t>
      </w:r>
      <w:r w:rsidR="006C4EDB">
        <w:t>)</w:t>
      </w:r>
      <w:r>
        <w:t>.</w:t>
      </w:r>
      <w:r w:rsidR="00227E00">
        <w:rPr>
          <w:rStyle w:val="FootnoteReference"/>
        </w:rPr>
        <w:footnoteReference w:id="1"/>
      </w:r>
      <w:r>
        <w:t xml:space="preserve">  </w:t>
      </w:r>
    </w:p>
    <w:p w:rsidR="007108E2" w:rsidRDefault="00B31AB1" w:rsidP="00B379DE">
      <w:pPr>
        <w:spacing w:line="480" w:lineRule="auto"/>
        <w:ind w:firstLine="720"/>
      </w:pPr>
      <w:r>
        <w:lastRenderedPageBreak/>
        <w:t xml:space="preserve">As respondent did not </w:t>
      </w:r>
      <w:r w:rsidR="008279D5">
        <w:t xml:space="preserve">timely </w:t>
      </w:r>
      <w:r>
        <w:t xml:space="preserve">file a response to the NDC, on </w:t>
      </w:r>
      <w:r w:rsidR="00CD6C5F">
        <w:t xml:space="preserve">December </w:t>
      </w:r>
      <w:r w:rsidR="00FF0B9C">
        <w:t>14</w:t>
      </w:r>
      <w:r w:rsidR="00CD6C5F">
        <w:t>, 2010</w:t>
      </w:r>
      <w:r>
        <w:t>, the State Bar filed and properly served on respondent a motion for the entry of respondent’s default.</w:t>
      </w:r>
      <w:r w:rsidR="00C45B99">
        <w:rPr>
          <w:rStyle w:val="FootnoteReference"/>
        </w:rPr>
        <w:footnoteReference w:id="2"/>
      </w:r>
      <w:r>
        <w:t xml:space="preserve">  When respondent failed to file a written response within ten days after service of the motion for the entry of his default, the court</w:t>
      </w:r>
      <w:r w:rsidR="00CD6C5F">
        <w:t xml:space="preserve">, on January </w:t>
      </w:r>
      <w:r w:rsidR="00FF0B9C">
        <w:t>4</w:t>
      </w:r>
      <w:r w:rsidR="00CD6C5F">
        <w:t xml:space="preserve">, 2011, </w:t>
      </w:r>
      <w:r>
        <w:t xml:space="preserve">filed an </w:t>
      </w:r>
      <w:r w:rsidR="00D309D1">
        <w:t>o</w:t>
      </w:r>
      <w:r>
        <w:t xml:space="preserve">rder of </w:t>
      </w:r>
      <w:r w:rsidR="00D309D1">
        <w:t>e</w:t>
      </w:r>
      <w:r>
        <w:t xml:space="preserve">ntry of </w:t>
      </w:r>
      <w:r w:rsidR="00D309D1">
        <w:t>d</w:t>
      </w:r>
      <w:r>
        <w:t xml:space="preserve">efault and </w:t>
      </w:r>
      <w:r w:rsidR="00D309D1">
        <w:t>i</w:t>
      </w:r>
      <w:r>
        <w:t xml:space="preserve">nvoluntary </w:t>
      </w:r>
      <w:r w:rsidR="00D309D1">
        <w:t>i</w:t>
      </w:r>
      <w:r>
        <w:t xml:space="preserve">nactive </w:t>
      </w:r>
      <w:r w:rsidR="00D309D1">
        <w:t>e</w:t>
      </w:r>
      <w:r>
        <w:t>nrollment.</w:t>
      </w:r>
      <w:r>
        <w:rPr>
          <w:rStyle w:val="FootnoteReference"/>
        </w:rPr>
        <w:footnoteReference w:id="3"/>
      </w:r>
      <w:r>
        <w:t xml:space="preserve">  </w:t>
      </w:r>
      <w:r w:rsidR="007A3D53" w:rsidRPr="00A01208">
        <w:t>A copy of s</w:t>
      </w:r>
      <w:r w:rsidR="00D309D1" w:rsidRPr="00A01208">
        <w:t>aid</w:t>
      </w:r>
      <w:r w:rsidRPr="00A01208">
        <w:t xml:space="preserve"> order </w:t>
      </w:r>
      <w:r w:rsidR="007A3D53" w:rsidRPr="00A01208">
        <w:t xml:space="preserve">was properly served on respondent at his membership records address; </w:t>
      </w:r>
      <w:r w:rsidR="007A3D53" w:rsidRPr="00926C07">
        <w:t xml:space="preserve">however, it </w:t>
      </w:r>
      <w:r w:rsidRPr="00926C07">
        <w:t xml:space="preserve">was </w:t>
      </w:r>
      <w:r w:rsidR="007A3D53" w:rsidRPr="00926C07">
        <w:t xml:space="preserve">subsequently </w:t>
      </w:r>
      <w:r w:rsidRPr="00926C07">
        <w:t>returned to the court by the U.S. Postal Service as undeliverable</w:t>
      </w:r>
      <w:r w:rsidR="00D309D1" w:rsidRPr="00A01208">
        <w:t>.</w:t>
      </w:r>
      <w:r w:rsidR="007108E2">
        <w:t xml:space="preserve">  </w:t>
      </w:r>
      <w:r>
        <w:t xml:space="preserve">Thereafter, the State Bar waived </w:t>
      </w:r>
      <w:r w:rsidR="00C64DEB">
        <w:t>a</w:t>
      </w:r>
      <w:r>
        <w:t xml:space="preserve"> hearing in this matter, and </w:t>
      </w:r>
      <w:r w:rsidR="00C64DEB">
        <w:t>it</w:t>
      </w:r>
      <w:r>
        <w:t xml:space="preserve"> was submitted for decision</w:t>
      </w:r>
      <w:r w:rsidR="00C511AF">
        <w:t xml:space="preserve"> on </w:t>
      </w:r>
      <w:r w:rsidR="00DB17A3">
        <w:t>January 24, 2011</w:t>
      </w:r>
      <w:r>
        <w:t>.</w:t>
      </w:r>
      <w:r w:rsidR="007108E2">
        <w:t xml:space="preserve">  </w:t>
      </w:r>
    </w:p>
    <w:p w:rsidR="00D34B49" w:rsidRDefault="00D34B49" w:rsidP="00B379DE">
      <w:pPr>
        <w:spacing w:line="480" w:lineRule="auto"/>
        <w:ind w:firstLine="720"/>
      </w:pPr>
      <w:r>
        <w:t xml:space="preserve">On January 27, 2011, however, respondent filed a motion to set aside the default judgment (“motion to set aside”).  On February 2, 2011, the State Bar filed an opposition to the motion to set aside.  </w:t>
      </w:r>
    </w:p>
    <w:p w:rsidR="00D34B49" w:rsidRDefault="00D34B49" w:rsidP="00B379DE">
      <w:pPr>
        <w:spacing w:line="480" w:lineRule="auto"/>
        <w:ind w:firstLine="720"/>
      </w:pPr>
      <w:r>
        <w:t>On February 7, 2011, both parties were present for a status conference.  During the status conference, the court in</w:t>
      </w:r>
      <w:r w:rsidR="007C25CE">
        <w:t xml:space="preserve">dicated that it was going to grant the motion to set aside.  However, upon further examination, the court </w:t>
      </w:r>
      <w:r w:rsidR="00112CBE">
        <w:t>found that it could not grant the motion to set aside because</w:t>
      </w:r>
      <w:r w:rsidR="007C25CE">
        <w:t xml:space="preserve"> </w:t>
      </w:r>
      <w:r w:rsidR="00112CBE">
        <w:t xml:space="preserve">it </w:t>
      </w:r>
      <w:r w:rsidR="007C25CE">
        <w:t xml:space="preserve">did not </w:t>
      </w:r>
      <w:r w:rsidR="00932CBC">
        <w:t>contain a verified proposed response as required by</w:t>
      </w:r>
      <w:r w:rsidR="007C25CE">
        <w:t xml:space="preserve"> rule 203(c)(3) of the Former Rules of Procedure.  </w:t>
      </w:r>
      <w:r w:rsidR="00D472DF">
        <w:t>Consequently, the court issued an order, on February 8, 2011, indicating that the motion to set aside was denied without prejudice</w:t>
      </w:r>
      <w:r w:rsidR="00E406EF">
        <w:t xml:space="preserve"> to respondent’s filing a proper motion to set aside</w:t>
      </w:r>
      <w:r w:rsidR="00D472DF">
        <w:t xml:space="preserve">.  </w:t>
      </w:r>
      <w:r w:rsidR="00E406EF">
        <w:t>In addition, the court ordered that any subsequent motion to set aside must be filed by respondent on or before 5:00 p.m. on February 16, 2011.</w:t>
      </w:r>
    </w:p>
    <w:p w:rsidR="00E406EF" w:rsidRDefault="00B0113A" w:rsidP="00B379DE">
      <w:pPr>
        <w:spacing w:line="480" w:lineRule="auto"/>
        <w:ind w:firstLine="720"/>
      </w:pPr>
      <w:r>
        <w:t>Respondent</w:t>
      </w:r>
      <w:r w:rsidR="00E406EF">
        <w:t xml:space="preserve"> </w:t>
      </w:r>
      <w:r>
        <w:t>failed to timely comply with the court’s February 8, 2011 order.  On February 21, 2011, the court received a fax</w:t>
      </w:r>
      <w:r w:rsidR="00DB0316">
        <w:t>ed</w:t>
      </w:r>
      <w:r>
        <w:t xml:space="preserve"> copy of respondent’s verified answer.  On February 22, 2011, the c</w:t>
      </w:r>
      <w:r w:rsidR="00CE01CF">
        <w:t>ourt issued an order denying respondent’</w:t>
      </w:r>
      <w:r w:rsidR="00F055A9">
        <w:t xml:space="preserve">s motion to vacate default and this matter remained submitted as of January 24, 2011.  </w:t>
      </w:r>
    </w:p>
    <w:p w:rsidR="00B31AB1" w:rsidRPr="00097646" w:rsidRDefault="00097646" w:rsidP="00B379DE">
      <w:pPr>
        <w:tabs>
          <w:tab w:val="center" w:pos="4680"/>
        </w:tabs>
        <w:spacing w:line="480" w:lineRule="auto"/>
        <w:jc w:val="center"/>
        <w:rPr>
          <w:b/>
          <w:bCs/>
        </w:rPr>
      </w:pPr>
      <w:r w:rsidRPr="00097646">
        <w:rPr>
          <w:b/>
          <w:bCs/>
        </w:rPr>
        <w:t>II.  Findings of Fact</w:t>
      </w:r>
      <w:r w:rsidR="009C32BF">
        <w:rPr>
          <w:b/>
          <w:bCs/>
        </w:rPr>
        <w:t xml:space="preserve"> &amp; Conclusions of Law</w:t>
      </w:r>
    </w:p>
    <w:p w:rsidR="00FE4CD5" w:rsidRDefault="00FE4CD5" w:rsidP="00FE4CD5">
      <w:pPr>
        <w:spacing w:line="480" w:lineRule="auto"/>
        <w:ind w:firstLine="720"/>
        <w:rPr>
          <w:highlight w:val="yellow"/>
        </w:rPr>
      </w:pPr>
      <w:r>
        <w:t xml:space="preserve">All factual allegations of the NDC are deemed admitted upon entry of respondent’s default unless otherwise ordered by the court based on contrary evidence.  (Former Rules Proc. of State Bar, rule 200(d)(1)(A).)  </w:t>
      </w:r>
    </w:p>
    <w:p w:rsidR="00C30D45" w:rsidRDefault="002751CC" w:rsidP="00B379DE">
      <w:pPr>
        <w:spacing w:line="480" w:lineRule="auto"/>
        <w:jc w:val="both"/>
      </w:pPr>
      <w:r>
        <w:rPr>
          <w:b/>
          <w:bCs/>
        </w:rPr>
        <w:t xml:space="preserve">A.  </w:t>
      </w:r>
      <w:r w:rsidR="00C30D45">
        <w:rPr>
          <w:b/>
          <w:bCs/>
        </w:rPr>
        <w:t>Jurisdiction</w:t>
      </w:r>
    </w:p>
    <w:p w:rsidR="00B25E9E" w:rsidRDefault="00C30D45" w:rsidP="00B379DE">
      <w:pPr>
        <w:spacing w:line="480" w:lineRule="auto"/>
        <w:ind w:firstLine="720"/>
      </w:pPr>
      <w:r>
        <w:t xml:space="preserve">Respondent was admitted to the practice of law in California on </w:t>
      </w:r>
      <w:r w:rsidR="00547388">
        <w:t>June 1, 2006</w:t>
      </w:r>
      <w:r>
        <w:t>, and has been a member of the State Bar of California at all times since that date</w:t>
      </w:r>
      <w:r w:rsidR="00D9332F">
        <w:t xml:space="preserve">.  </w:t>
      </w:r>
    </w:p>
    <w:p w:rsidR="008050F9" w:rsidRPr="009C32BF" w:rsidRDefault="002751CC" w:rsidP="00547388">
      <w:pPr>
        <w:spacing w:line="480" w:lineRule="auto"/>
        <w:jc w:val="both"/>
        <w:rPr>
          <w:b/>
        </w:rPr>
      </w:pPr>
      <w:r>
        <w:rPr>
          <w:b/>
        </w:rPr>
        <w:t xml:space="preserve">B.  </w:t>
      </w:r>
      <w:r w:rsidR="009C32BF" w:rsidRPr="009C32BF">
        <w:rPr>
          <w:b/>
        </w:rPr>
        <w:t>Findings of Fact</w:t>
      </w:r>
    </w:p>
    <w:p w:rsidR="002A3D64" w:rsidRDefault="002A3D64" w:rsidP="002A3D64">
      <w:pPr>
        <w:spacing w:line="480" w:lineRule="auto"/>
        <w:ind w:firstLine="720"/>
      </w:pPr>
      <w:r>
        <w:rPr>
          <w:color w:val="000000"/>
        </w:rPr>
        <w:t>On or about July 27, 2008,</w:t>
      </w:r>
      <w:r w:rsidRPr="00E619CE">
        <w:rPr>
          <w:color w:val="000000"/>
        </w:rPr>
        <w:t xml:space="preserve"> Sharon Wichael (“Wichael”) hired respondent to represent her in a patent infringement claim.  On or about July 27, 2008, Wichael executed a Service Agreement with respondent, agreeing to pay $5,000 to respondent </w:t>
      </w:r>
      <w:r>
        <w:rPr>
          <w:color w:val="000000"/>
        </w:rPr>
        <w:t>to</w:t>
      </w:r>
      <w:r w:rsidRPr="00E619CE">
        <w:rPr>
          <w:color w:val="000000"/>
        </w:rPr>
        <w:t xml:space="preserve"> “research, send demand letters and ask the state or court entity DMV to remove the immunity so that they can be sued.” </w:t>
      </w:r>
      <w:r>
        <w:rPr>
          <w:color w:val="000000"/>
        </w:rPr>
        <w:t xml:space="preserve"> </w:t>
      </w:r>
      <w:r w:rsidRPr="00E619CE">
        <w:rPr>
          <w:color w:val="000000"/>
        </w:rPr>
        <w:t>Wichael gave respondent $5,000 pursuant to the contract.</w:t>
      </w:r>
    </w:p>
    <w:p w:rsidR="002A3D64" w:rsidRDefault="002A3D64" w:rsidP="002A3D64">
      <w:pPr>
        <w:spacing w:line="480" w:lineRule="auto"/>
        <w:ind w:firstLine="720"/>
      </w:pPr>
      <w:r w:rsidRPr="00E619CE">
        <w:rPr>
          <w:color w:val="000000"/>
        </w:rPr>
        <w:t>Respondent met with Wichael on June 25, 2008,</w:t>
      </w:r>
      <w:r>
        <w:rPr>
          <w:color w:val="000000"/>
        </w:rPr>
        <w:t xml:space="preserve"> and gave respondent </w:t>
      </w:r>
      <w:r w:rsidRPr="00E619CE">
        <w:rPr>
          <w:color w:val="000000"/>
        </w:rPr>
        <w:t xml:space="preserve">various documents relating to her patent-infringement claim. </w:t>
      </w:r>
      <w:r>
        <w:rPr>
          <w:color w:val="000000"/>
        </w:rPr>
        <w:t xml:space="preserve">  Wichael also met with respondent on </w:t>
      </w:r>
      <w:r w:rsidRPr="00E619CE">
        <w:rPr>
          <w:color w:val="000000"/>
        </w:rPr>
        <w:t>July 24, 2008, February 4, 2009 and February 19, 2009.</w:t>
      </w:r>
      <w:r>
        <w:t xml:space="preserve">  </w:t>
      </w:r>
    </w:p>
    <w:p w:rsidR="002A3D64" w:rsidRDefault="002A3D64" w:rsidP="002A3D64">
      <w:pPr>
        <w:spacing w:line="480" w:lineRule="auto"/>
        <w:ind w:firstLine="720"/>
      </w:pPr>
      <w:r w:rsidRPr="00E619CE">
        <w:rPr>
          <w:color w:val="000000"/>
        </w:rPr>
        <w:t>Thereafter, respondent failed to take any action of substantive value on behalf of Wichael</w:t>
      </w:r>
      <w:r>
        <w:rPr>
          <w:color w:val="000000"/>
        </w:rPr>
        <w:t xml:space="preserve">.  </w:t>
      </w:r>
      <w:r w:rsidRPr="00E619CE">
        <w:rPr>
          <w:color w:val="000000"/>
        </w:rPr>
        <w:t xml:space="preserve">Respondent failed </w:t>
      </w:r>
      <w:r>
        <w:rPr>
          <w:color w:val="000000"/>
        </w:rPr>
        <w:t>to show Wichael that he had sent</w:t>
      </w:r>
      <w:r w:rsidRPr="00E619CE">
        <w:rPr>
          <w:color w:val="000000"/>
        </w:rPr>
        <w:t xml:space="preserve"> demand letters to the DMV or</w:t>
      </w:r>
      <w:r>
        <w:rPr>
          <w:color w:val="000000"/>
        </w:rPr>
        <w:t xml:space="preserve"> </w:t>
      </w:r>
      <w:r w:rsidRPr="00E619CE">
        <w:rPr>
          <w:color w:val="000000"/>
        </w:rPr>
        <w:t>asked the DMV to remove immunity for suit</w:t>
      </w:r>
      <w:r>
        <w:rPr>
          <w:color w:val="000000"/>
        </w:rPr>
        <w:t xml:space="preserve">.  </w:t>
      </w:r>
      <w:r w:rsidRPr="00E619CE">
        <w:rPr>
          <w:color w:val="000000"/>
        </w:rPr>
        <w:t>Respondent failed to provide Wichael with information regarding research on the potential patent claim.</w:t>
      </w:r>
      <w:r>
        <w:t xml:space="preserve">  </w:t>
      </w:r>
    </w:p>
    <w:p w:rsidR="002A3D64" w:rsidRDefault="003561C5" w:rsidP="002A3D64">
      <w:pPr>
        <w:spacing w:line="480" w:lineRule="auto"/>
        <w:ind w:firstLine="720"/>
      </w:pPr>
      <w:r>
        <w:rPr>
          <w:color w:val="000000"/>
        </w:rPr>
        <w:t>In or about February</w:t>
      </w:r>
      <w:r w:rsidR="002A3D64" w:rsidRPr="00E619CE">
        <w:rPr>
          <w:color w:val="000000"/>
        </w:rPr>
        <w:t xml:space="preserve"> 2009, Wichael terminated respondent</w:t>
      </w:r>
      <w:r w:rsidR="002A3D64">
        <w:rPr>
          <w:color w:val="000000"/>
        </w:rPr>
        <w:t>’</w:t>
      </w:r>
      <w:r w:rsidR="002A3D64" w:rsidRPr="00E619CE">
        <w:rPr>
          <w:color w:val="000000"/>
        </w:rPr>
        <w:t>s services.</w:t>
      </w:r>
      <w:r w:rsidR="002A3D64">
        <w:t xml:space="preserve">  </w:t>
      </w:r>
      <w:r w:rsidR="002A3D64" w:rsidRPr="00E619CE">
        <w:rPr>
          <w:color w:val="000000"/>
        </w:rPr>
        <w:t>Since March 5, 2009, Wichael repeatedly asked respondent to return her files to her, including her documents on her patent infringement claim.</w:t>
      </w:r>
      <w:r w:rsidR="002A3D64">
        <w:t xml:space="preserve">  </w:t>
      </w:r>
      <w:r w:rsidR="002A3D64" w:rsidRPr="00E619CE">
        <w:rPr>
          <w:color w:val="000000"/>
        </w:rPr>
        <w:t>Respondent received Wichael</w:t>
      </w:r>
      <w:r w:rsidR="002A3D64">
        <w:rPr>
          <w:color w:val="000000"/>
        </w:rPr>
        <w:t>’</w:t>
      </w:r>
      <w:r w:rsidR="002A3D64" w:rsidRPr="00E619CE">
        <w:rPr>
          <w:color w:val="000000"/>
        </w:rPr>
        <w:t>s request for the return of the file</w:t>
      </w:r>
      <w:r w:rsidR="002A3D64">
        <w:rPr>
          <w:color w:val="000000"/>
        </w:rPr>
        <w:t xml:space="preserve">.  </w:t>
      </w:r>
      <w:r w:rsidR="002A3D64" w:rsidRPr="00E619CE">
        <w:rPr>
          <w:color w:val="000000"/>
        </w:rPr>
        <w:t>Respondent sent Wichael several e</w:t>
      </w:r>
      <w:r w:rsidR="002A3D64">
        <w:rPr>
          <w:color w:val="000000"/>
        </w:rPr>
        <w:t>mails indicating that he intended</w:t>
      </w:r>
      <w:r w:rsidR="002A3D64" w:rsidRPr="00E619CE">
        <w:rPr>
          <w:color w:val="000000"/>
        </w:rPr>
        <w:t xml:space="preserve"> to return the materials.</w:t>
      </w:r>
      <w:r w:rsidR="002A3D64">
        <w:t xml:space="preserve">  However, </w:t>
      </w:r>
      <w:r w:rsidR="002A3D64">
        <w:rPr>
          <w:color w:val="000000"/>
        </w:rPr>
        <w:t>a</w:t>
      </w:r>
      <w:r w:rsidR="002A3D64" w:rsidRPr="00E619CE">
        <w:rPr>
          <w:color w:val="000000"/>
        </w:rPr>
        <w:t xml:space="preserve">s of </w:t>
      </w:r>
      <w:r w:rsidR="002A3D64">
        <w:rPr>
          <w:color w:val="000000"/>
        </w:rPr>
        <w:t>October 29, 2010</w:t>
      </w:r>
      <w:r w:rsidR="002A3D64" w:rsidRPr="00E619CE">
        <w:rPr>
          <w:color w:val="000000"/>
        </w:rPr>
        <w:t>, respondent ha</w:t>
      </w:r>
      <w:r w:rsidR="002A3D64">
        <w:rPr>
          <w:color w:val="000000"/>
        </w:rPr>
        <w:t>d</w:t>
      </w:r>
      <w:r w:rsidR="002A3D64" w:rsidRPr="00E619CE">
        <w:rPr>
          <w:color w:val="000000"/>
        </w:rPr>
        <w:t xml:space="preserve"> failed to return Wichael</w:t>
      </w:r>
      <w:r w:rsidR="002A3D64">
        <w:rPr>
          <w:color w:val="000000"/>
        </w:rPr>
        <w:t>’</w:t>
      </w:r>
      <w:r w:rsidR="002A3D64" w:rsidRPr="00E619CE">
        <w:rPr>
          <w:color w:val="000000"/>
        </w:rPr>
        <w:t>s file and documents to her.</w:t>
      </w:r>
      <w:r w:rsidR="002A3D64">
        <w:rPr>
          <w:rStyle w:val="FootnoteReference"/>
          <w:color w:val="000000"/>
        </w:rPr>
        <w:footnoteReference w:id="4"/>
      </w:r>
    </w:p>
    <w:p w:rsidR="00D9332F" w:rsidRDefault="002A3D64" w:rsidP="00D9332F">
      <w:pPr>
        <w:spacing w:line="480" w:lineRule="auto"/>
        <w:ind w:firstLine="720"/>
      </w:pPr>
      <w:r w:rsidRPr="00E619CE">
        <w:rPr>
          <w:color w:val="000000"/>
        </w:rPr>
        <w:t>At or near the time Wichael terminated respondent</w:t>
      </w:r>
      <w:r>
        <w:rPr>
          <w:color w:val="000000"/>
        </w:rPr>
        <w:t>’</w:t>
      </w:r>
      <w:r w:rsidRPr="00E619CE">
        <w:rPr>
          <w:color w:val="000000"/>
        </w:rPr>
        <w:t>s services, she also asked for a refund of the $5,000 she gave to respondent.</w:t>
      </w:r>
      <w:r>
        <w:rPr>
          <w:color w:val="000000"/>
        </w:rPr>
        <w:t xml:space="preserve">  </w:t>
      </w:r>
      <w:r w:rsidRPr="00E619CE">
        <w:rPr>
          <w:color w:val="000000"/>
        </w:rPr>
        <w:t>Respondent failed to earn the $5,000 he received from Wichael</w:t>
      </w:r>
      <w:r>
        <w:rPr>
          <w:color w:val="000000"/>
        </w:rPr>
        <w:t xml:space="preserve">.  </w:t>
      </w:r>
      <w:r w:rsidRPr="00E619CE">
        <w:rPr>
          <w:color w:val="000000"/>
        </w:rPr>
        <w:t>Respondent owes the full amount of $5,000 to Wichael.</w:t>
      </w:r>
    </w:p>
    <w:p w:rsidR="00C57FE1" w:rsidRDefault="00547388" w:rsidP="00547388">
      <w:pPr>
        <w:tabs>
          <w:tab w:val="center" w:pos="4680"/>
        </w:tabs>
        <w:spacing w:line="480" w:lineRule="auto"/>
        <w:ind w:left="720" w:hanging="720"/>
        <w:rPr>
          <w:b/>
          <w:bCs/>
        </w:rPr>
      </w:pPr>
      <w:r>
        <w:rPr>
          <w:b/>
          <w:bCs/>
        </w:rPr>
        <w:t>C</w:t>
      </w:r>
      <w:r w:rsidR="00097646" w:rsidRPr="00097646">
        <w:rPr>
          <w:b/>
          <w:bCs/>
        </w:rPr>
        <w:t>.  Conclusions</w:t>
      </w:r>
      <w:r w:rsidR="00B31AB1" w:rsidRPr="00097646">
        <w:rPr>
          <w:b/>
          <w:bCs/>
        </w:rPr>
        <w:t xml:space="preserve"> </w:t>
      </w:r>
      <w:r w:rsidR="00097646" w:rsidRPr="00097646">
        <w:rPr>
          <w:b/>
          <w:bCs/>
        </w:rPr>
        <w:t>of</w:t>
      </w:r>
      <w:r w:rsidR="00B31AB1" w:rsidRPr="00097646">
        <w:rPr>
          <w:b/>
          <w:bCs/>
        </w:rPr>
        <w:t xml:space="preserve"> L</w:t>
      </w:r>
      <w:r w:rsidR="00097646" w:rsidRPr="00097646">
        <w:rPr>
          <w:b/>
          <w:bCs/>
        </w:rPr>
        <w:t>aw</w:t>
      </w:r>
    </w:p>
    <w:p w:rsidR="006C007A" w:rsidRDefault="00EA1FED" w:rsidP="00547388">
      <w:pPr>
        <w:tabs>
          <w:tab w:val="center" w:pos="4680"/>
        </w:tabs>
        <w:ind w:left="1080" w:hanging="360"/>
        <w:rPr>
          <w:b/>
        </w:rPr>
      </w:pPr>
      <w:r>
        <w:rPr>
          <w:b/>
          <w:bCs/>
        </w:rPr>
        <w:t>1</w:t>
      </w:r>
      <w:r w:rsidR="006C007A">
        <w:rPr>
          <w:b/>
          <w:bCs/>
        </w:rPr>
        <w:t xml:space="preserve">.  </w:t>
      </w:r>
      <w:r w:rsidR="00C57FE1" w:rsidRPr="00664718">
        <w:rPr>
          <w:b/>
        </w:rPr>
        <w:t xml:space="preserve">Count </w:t>
      </w:r>
      <w:r w:rsidR="00C57FE1">
        <w:rPr>
          <w:b/>
        </w:rPr>
        <w:t>1</w:t>
      </w:r>
      <w:r w:rsidR="00C57FE1" w:rsidRPr="00664718">
        <w:rPr>
          <w:b/>
        </w:rPr>
        <w:t xml:space="preserve">:  Rules of Professional Conduct of the State Bar of California, </w:t>
      </w:r>
    </w:p>
    <w:p w:rsidR="00F14A5E" w:rsidRDefault="00C57FE1" w:rsidP="006C007A">
      <w:pPr>
        <w:tabs>
          <w:tab w:val="center" w:pos="4680"/>
        </w:tabs>
        <w:ind w:left="2160" w:hanging="90"/>
      </w:pPr>
      <w:r w:rsidRPr="00664718">
        <w:rPr>
          <w:b/>
        </w:rPr>
        <w:t>Rule 3-110(A)</w:t>
      </w:r>
      <w:r w:rsidRPr="00664718">
        <w:rPr>
          <w:rStyle w:val="FootnoteReference"/>
          <w:b/>
        </w:rPr>
        <w:footnoteReference w:id="5"/>
      </w:r>
      <w:r w:rsidRPr="00664718">
        <w:rPr>
          <w:b/>
        </w:rPr>
        <w:t xml:space="preserve"> [Failure to Perform with Competence]</w:t>
      </w:r>
      <w:r w:rsidRPr="00664718">
        <w:t xml:space="preserve">  </w:t>
      </w:r>
    </w:p>
    <w:p w:rsidR="00F14A5E" w:rsidRDefault="00F14A5E" w:rsidP="00B379DE">
      <w:pPr>
        <w:tabs>
          <w:tab w:val="center" w:pos="4680"/>
        </w:tabs>
        <w:ind w:left="1080"/>
      </w:pPr>
    </w:p>
    <w:p w:rsidR="00830E1C" w:rsidRPr="00664718" w:rsidRDefault="00830E1C" w:rsidP="00B379DE">
      <w:pPr>
        <w:spacing w:line="480" w:lineRule="auto"/>
        <w:ind w:firstLine="720"/>
      </w:pPr>
      <w:r w:rsidRPr="00664718">
        <w:t>Rule 3-110(A) provides that a member must not intentionally, recklessly</w:t>
      </w:r>
      <w:r w:rsidR="00093B68">
        <w:t>,</w:t>
      </w:r>
      <w:r w:rsidRPr="00664718">
        <w:t xml:space="preserve"> or repeatedly fail to perform legal services with competence.  </w:t>
      </w:r>
      <w:r w:rsidR="001835D4" w:rsidRPr="001835D4">
        <w:rPr>
          <w:color w:val="000000"/>
        </w:rPr>
        <w:t>By failing to take substantive action on behalf of Wichael</w:t>
      </w:r>
      <w:r w:rsidRPr="00A9686C">
        <w:rPr>
          <w:color w:val="000000"/>
        </w:rPr>
        <w:t>, respondent recklessly</w:t>
      </w:r>
      <w:r w:rsidR="00A9686C" w:rsidRPr="00A9686C">
        <w:rPr>
          <w:color w:val="000000"/>
        </w:rPr>
        <w:t xml:space="preserve"> and</w:t>
      </w:r>
      <w:r w:rsidRPr="00A9686C">
        <w:rPr>
          <w:color w:val="000000"/>
        </w:rPr>
        <w:t xml:space="preserve"> repeatedly failed to perform </w:t>
      </w:r>
      <w:r w:rsidR="00B7124F">
        <w:rPr>
          <w:color w:val="000000"/>
        </w:rPr>
        <w:t xml:space="preserve">legal services </w:t>
      </w:r>
      <w:r w:rsidRPr="00A9686C">
        <w:rPr>
          <w:color w:val="000000"/>
        </w:rPr>
        <w:t>with competence</w:t>
      </w:r>
      <w:r w:rsidRPr="00664718">
        <w:rPr>
          <w:color w:val="000000"/>
        </w:rPr>
        <w:t xml:space="preserve">, in willful violation of </w:t>
      </w:r>
      <w:r w:rsidRPr="00664718">
        <w:t>rule 3-110(A).</w:t>
      </w:r>
    </w:p>
    <w:p w:rsidR="00830E1C" w:rsidRDefault="00DB0484" w:rsidP="00DB0484">
      <w:pPr>
        <w:ind w:left="1440" w:hanging="720"/>
        <w:rPr>
          <w:b/>
        </w:rPr>
      </w:pPr>
      <w:r>
        <w:rPr>
          <w:b/>
        </w:rPr>
        <w:t>2</w:t>
      </w:r>
      <w:r w:rsidR="00830E1C" w:rsidRPr="00664718">
        <w:rPr>
          <w:b/>
        </w:rPr>
        <w:t xml:space="preserve">.  </w:t>
      </w:r>
      <w:r w:rsidRPr="00664718">
        <w:rPr>
          <w:b/>
        </w:rPr>
        <w:t xml:space="preserve">Count </w:t>
      </w:r>
      <w:r w:rsidR="00DD0181">
        <w:rPr>
          <w:b/>
        </w:rPr>
        <w:t>2</w:t>
      </w:r>
      <w:r w:rsidRPr="00664718">
        <w:rPr>
          <w:b/>
        </w:rPr>
        <w:t>:  Rule 3-700(</w:t>
      </w:r>
      <w:r>
        <w:rPr>
          <w:b/>
        </w:rPr>
        <w:t>D</w:t>
      </w:r>
      <w:r w:rsidRPr="00664718">
        <w:rPr>
          <w:b/>
        </w:rPr>
        <w:t>)(</w:t>
      </w:r>
      <w:r>
        <w:rPr>
          <w:b/>
        </w:rPr>
        <w:t>1</w:t>
      </w:r>
      <w:r w:rsidRPr="00664718">
        <w:rPr>
          <w:b/>
        </w:rPr>
        <w:t>) [</w:t>
      </w:r>
      <w:r>
        <w:rPr>
          <w:b/>
        </w:rPr>
        <w:t>Failure to Release File</w:t>
      </w:r>
      <w:r w:rsidRPr="00664718">
        <w:rPr>
          <w:b/>
        </w:rPr>
        <w:t>]</w:t>
      </w:r>
      <w:r w:rsidRPr="00664718">
        <w:t xml:space="preserve">  </w:t>
      </w:r>
    </w:p>
    <w:p w:rsidR="004400FE" w:rsidRPr="00664718" w:rsidRDefault="004400FE" w:rsidP="00B379DE">
      <w:pPr>
        <w:ind w:left="1440" w:hanging="360"/>
        <w:rPr>
          <w:b/>
        </w:rPr>
      </w:pPr>
    </w:p>
    <w:p w:rsidR="002F0935" w:rsidRDefault="00870116" w:rsidP="00B379DE">
      <w:pPr>
        <w:spacing w:line="480" w:lineRule="auto"/>
        <w:ind w:firstLine="720"/>
      </w:pPr>
      <w:r>
        <w:t xml:space="preserve">Rule 3-700(D)(1) states that a member whose employment has terminated shall promptly release to the client, at the request of the client, all the client papers and property.  </w:t>
      </w:r>
      <w:r w:rsidRPr="00B532C4">
        <w:rPr>
          <w:color w:val="000000"/>
        </w:rPr>
        <w:t>By failing to return Wichael’s documents and files to her</w:t>
      </w:r>
      <w:r w:rsidRPr="00F204C8">
        <w:t xml:space="preserve">, at the request of </w:t>
      </w:r>
      <w:r>
        <w:t>Wichael</w:t>
      </w:r>
      <w:r w:rsidRPr="00F204C8">
        <w:t>, respondent failed to release promptly, upon termination of employment, to h</w:t>
      </w:r>
      <w:r w:rsidR="00B532C4">
        <w:t>is</w:t>
      </w:r>
      <w:r>
        <w:t xml:space="preserve"> client</w:t>
      </w:r>
      <w:r w:rsidRPr="00F204C8">
        <w:t xml:space="preserve">, at the request of </w:t>
      </w:r>
      <w:r>
        <w:t>the client, all the client’s papers and property, in willful violation</w:t>
      </w:r>
      <w:r w:rsidR="00DB0316">
        <w:t xml:space="preserve"> of</w:t>
      </w:r>
      <w:r>
        <w:t xml:space="preserve"> rule 3-700(D)(1).</w:t>
      </w:r>
    </w:p>
    <w:p w:rsidR="00C455F1" w:rsidRDefault="00C455F1" w:rsidP="00B379DE">
      <w:pPr>
        <w:spacing w:line="480" w:lineRule="auto"/>
        <w:ind w:firstLine="720"/>
      </w:pPr>
    </w:p>
    <w:p w:rsidR="00C455F1" w:rsidRDefault="00C455F1" w:rsidP="00B379DE">
      <w:pPr>
        <w:spacing w:line="480" w:lineRule="auto"/>
        <w:ind w:firstLine="720"/>
      </w:pPr>
    </w:p>
    <w:p w:rsidR="000F418E" w:rsidRPr="00664718" w:rsidRDefault="00FE432E" w:rsidP="00FE432E">
      <w:pPr>
        <w:spacing w:line="480" w:lineRule="auto"/>
        <w:ind w:left="1710" w:hanging="990"/>
      </w:pPr>
      <w:r>
        <w:rPr>
          <w:b/>
        </w:rPr>
        <w:t>3</w:t>
      </w:r>
      <w:r w:rsidR="006C6D2F">
        <w:rPr>
          <w:b/>
        </w:rPr>
        <w:t xml:space="preserve">.  </w:t>
      </w:r>
      <w:r w:rsidR="000F418E" w:rsidRPr="00664718">
        <w:rPr>
          <w:b/>
        </w:rPr>
        <w:t xml:space="preserve">Count </w:t>
      </w:r>
      <w:r w:rsidR="000F4817">
        <w:rPr>
          <w:b/>
        </w:rPr>
        <w:t>3</w:t>
      </w:r>
      <w:r w:rsidR="000F418E" w:rsidRPr="00664718">
        <w:rPr>
          <w:b/>
        </w:rPr>
        <w:t>:  Rule 3-700(</w:t>
      </w:r>
      <w:r w:rsidR="000F418E">
        <w:rPr>
          <w:b/>
        </w:rPr>
        <w:t>D</w:t>
      </w:r>
      <w:r w:rsidR="000F418E" w:rsidRPr="00664718">
        <w:rPr>
          <w:b/>
        </w:rPr>
        <w:t>)(</w:t>
      </w:r>
      <w:r w:rsidR="000F418E">
        <w:rPr>
          <w:b/>
        </w:rPr>
        <w:t>2</w:t>
      </w:r>
      <w:r w:rsidR="000F418E" w:rsidRPr="00664718">
        <w:rPr>
          <w:b/>
        </w:rPr>
        <w:t>) [</w:t>
      </w:r>
      <w:r w:rsidR="000F418E">
        <w:rPr>
          <w:b/>
        </w:rPr>
        <w:t>Failure to Refund Unearned Fee</w:t>
      </w:r>
      <w:r w:rsidR="000F418E" w:rsidRPr="00664718">
        <w:rPr>
          <w:b/>
        </w:rPr>
        <w:t>]</w:t>
      </w:r>
      <w:r w:rsidR="000F418E" w:rsidRPr="00664718">
        <w:t xml:space="preserve">  </w:t>
      </w:r>
    </w:p>
    <w:p w:rsidR="001A1F68" w:rsidRPr="0011166A" w:rsidRDefault="000F418E" w:rsidP="00B379DE">
      <w:pPr>
        <w:spacing w:line="480" w:lineRule="auto"/>
        <w:ind w:firstLine="720"/>
        <w:rPr>
          <w:b/>
        </w:rPr>
      </w:pPr>
      <w:r>
        <w:t xml:space="preserve">Rule 3-700(D)(2) requires an attorney whose employment has been terminated to promptly refund any part of a fee paid in advance that has not been earned.  </w:t>
      </w:r>
      <w:r w:rsidRPr="000F418E">
        <w:rPr>
          <w:color w:val="000000"/>
        </w:rPr>
        <w:t>By failing to refund any part of the $</w:t>
      </w:r>
      <w:r w:rsidR="0027018E">
        <w:rPr>
          <w:color w:val="000000"/>
        </w:rPr>
        <w:t>5,0</w:t>
      </w:r>
      <w:r w:rsidRPr="000F418E">
        <w:rPr>
          <w:color w:val="000000"/>
        </w:rPr>
        <w:t>00 fee</w:t>
      </w:r>
      <w:r>
        <w:rPr>
          <w:color w:val="000000"/>
        </w:rPr>
        <w:t xml:space="preserve"> paid by </w:t>
      </w:r>
      <w:r w:rsidR="0027018E">
        <w:rPr>
          <w:color w:val="000000"/>
        </w:rPr>
        <w:t>Wichael</w:t>
      </w:r>
      <w:r w:rsidRPr="00092D7C">
        <w:rPr>
          <w:color w:val="000000"/>
        </w:rPr>
        <w:t>, respondent failed to refund promptly fees paid in advance that had not been earned</w:t>
      </w:r>
      <w:r>
        <w:rPr>
          <w:color w:val="000000"/>
        </w:rPr>
        <w:t xml:space="preserve">, in willful violation </w:t>
      </w:r>
      <w:r>
        <w:t>of rule 3-700(D)(2).</w:t>
      </w:r>
    </w:p>
    <w:p w:rsidR="00B31AB1" w:rsidRPr="00097646" w:rsidRDefault="00284D32" w:rsidP="00B379DE">
      <w:pPr>
        <w:tabs>
          <w:tab w:val="center" w:pos="4680"/>
        </w:tabs>
        <w:spacing w:line="480" w:lineRule="auto"/>
        <w:jc w:val="center"/>
        <w:rPr>
          <w:b/>
          <w:bCs/>
        </w:rPr>
      </w:pPr>
      <w:r>
        <w:rPr>
          <w:b/>
          <w:bCs/>
        </w:rPr>
        <w:t>III</w:t>
      </w:r>
      <w:r w:rsidR="00097646" w:rsidRPr="00097646">
        <w:rPr>
          <w:b/>
          <w:bCs/>
        </w:rPr>
        <w:t>.  Mitigating and Aggravating Circumstances</w:t>
      </w:r>
    </w:p>
    <w:p w:rsidR="00D06BDD" w:rsidRPr="00D06BDD" w:rsidRDefault="0069105D" w:rsidP="00B379DE">
      <w:pPr>
        <w:spacing w:line="480" w:lineRule="auto"/>
        <w:jc w:val="both"/>
        <w:rPr>
          <w:b/>
        </w:rPr>
      </w:pPr>
      <w:r>
        <w:rPr>
          <w:b/>
        </w:rPr>
        <w:t xml:space="preserve">A.  </w:t>
      </w:r>
      <w:r w:rsidR="00D06BDD" w:rsidRPr="00D06BDD">
        <w:rPr>
          <w:b/>
        </w:rPr>
        <w:t>Mitigation</w:t>
      </w:r>
    </w:p>
    <w:p w:rsidR="00D06BDD" w:rsidRDefault="00096498" w:rsidP="00B379DE">
      <w:pPr>
        <w:spacing w:line="480" w:lineRule="auto"/>
        <w:ind w:firstLine="720"/>
      </w:pPr>
      <w:r>
        <w:t>No mitigating factors were submitted into evidence</w:t>
      </w:r>
      <w:r w:rsidR="003D3F13">
        <w:t xml:space="preserve"> and none could be gleaned from the record</w:t>
      </w:r>
      <w:r>
        <w:t>.  (Rules Proc. of State Bar, tit. IV, Stds. for Atty. Sanctions for Prof. Misconduct, std. 1.2(e).)</w:t>
      </w:r>
      <w:r>
        <w:rPr>
          <w:rStyle w:val="FootnoteReference"/>
        </w:rPr>
        <w:footnoteReference w:id="6"/>
      </w:r>
      <w:r>
        <w:t xml:space="preserve">  </w:t>
      </w:r>
    </w:p>
    <w:p w:rsidR="00D06BDD" w:rsidRPr="0069105D" w:rsidRDefault="0069105D" w:rsidP="00B379DE">
      <w:pPr>
        <w:spacing w:line="480" w:lineRule="auto"/>
        <w:jc w:val="both"/>
        <w:rPr>
          <w:b/>
        </w:rPr>
      </w:pPr>
      <w:r w:rsidRPr="0069105D">
        <w:rPr>
          <w:b/>
        </w:rPr>
        <w:t>B.  Aggravation</w:t>
      </w:r>
    </w:p>
    <w:p w:rsidR="00A266CE" w:rsidRPr="00A266CE" w:rsidRDefault="00A266CE" w:rsidP="00B379DE">
      <w:pPr>
        <w:spacing w:line="480" w:lineRule="auto"/>
        <w:ind w:firstLine="720"/>
        <w:rPr>
          <w:b/>
        </w:rPr>
      </w:pPr>
      <w:r w:rsidRPr="00A266CE">
        <w:rPr>
          <w:b/>
        </w:rPr>
        <w:t>1.  Multiple Acts</w:t>
      </w:r>
    </w:p>
    <w:p w:rsidR="0057102B" w:rsidRDefault="0057102B" w:rsidP="00B379DE">
      <w:pPr>
        <w:spacing w:line="480" w:lineRule="auto"/>
        <w:ind w:firstLine="720"/>
      </w:pPr>
      <w:r>
        <w:t xml:space="preserve">Respondent was </w:t>
      </w:r>
      <w:r w:rsidR="004204E2">
        <w:t xml:space="preserve">found culpable of </w:t>
      </w:r>
      <w:r w:rsidR="005E6DD6">
        <w:t>three</w:t>
      </w:r>
      <w:r w:rsidR="004204E2">
        <w:t xml:space="preserve"> </w:t>
      </w:r>
      <w:r>
        <w:t xml:space="preserve">acts of misconduct.  Multiple acts of misconduct </w:t>
      </w:r>
      <w:r w:rsidR="005E6DD6">
        <w:t>constitute</w:t>
      </w:r>
      <w:r>
        <w:t xml:space="preserve"> an aggravating factor.  (Std. 1.2(b)(ii).)</w:t>
      </w:r>
    </w:p>
    <w:p w:rsidR="00A266CE" w:rsidRPr="00A266CE" w:rsidRDefault="00A266CE" w:rsidP="00B379DE">
      <w:pPr>
        <w:spacing w:line="480" w:lineRule="auto"/>
        <w:ind w:firstLine="720"/>
        <w:rPr>
          <w:b/>
        </w:rPr>
      </w:pPr>
      <w:r w:rsidRPr="00A266CE">
        <w:rPr>
          <w:b/>
        </w:rPr>
        <w:t xml:space="preserve">2.  </w:t>
      </w:r>
      <w:r w:rsidRPr="00A266CE">
        <w:rPr>
          <w:b/>
          <w:bCs/>
        </w:rPr>
        <w:t>Failure to Cooperate</w:t>
      </w:r>
    </w:p>
    <w:p w:rsidR="00A266CE" w:rsidRDefault="00A266CE" w:rsidP="00B379DE">
      <w:pPr>
        <w:spacing w:line="480" w:lineRule="auto"/>
        <w:ind w:firstLine="720"/>
      </w:pPr>
      <w:r>
        <w:t xml:space="preserve">Respondent's failure to participate in the present proceeding constitutes an additional factor in aggravation.  (Std. 1.2(b)(vi).)  </w:t>
      </w:r>
    </w:p>
    <w:p w:rsidR="00F020C9" w:rsidRPr="00664718" w:rsidRDefault="00F020C9" w:rsidP="00F020C9">
      <w:pPr>
        <w:widowControl w:val="0"/>
        <w:numPr>
          <w:ilvl w:val="12"/>
          <w:numId w:val="0"/>
        </w:numPr>
        <w:spacing w:line="480" w:lineRule="auto"/>
        <w:ind w:firstLine="720"/>
        <w:rPr>
          <w:b/>
        </w:rPr>
      </w:pPr>
      <w:r>
        <w:rPr>
          <w:b/>
        </w:rPr>
        <w:t xml:space="preserve">3.  </w:t>
      </w:r>
      <w:r w:rsidRPr="00664718">
        <w:rPr>
          <w:b/>
        </w:rPr>
        <w:t>Significant Harm</w:t>
      </w:r>
    </w:p>
    <w:p w:rsidR="00F020C9" w:rsidRDefault="00F020C9" w:rsidP="00F020C9">
      <w:pPr>
        <w:spacing w:line="480" w:lineRule="auto"/>
        <w:ind w:firstLine="720"/>
      </w:pPr>
      <w:r w:rsidRPr="00664718">
        <w:rPr>
          <w:bCs/>
        </w:rPr>
        <w:t>Respondent</w:t>
      </w:r>
      <w:r>
        <w:rPr>
          <w:bCs/>
        </w:rPr>
        <w:t>’</w:t>
      </w:r>
      <w:r w:rsidRPr="00664718">
        <w:rPr>
          <w:bCs/>
        </w:rPr>
        <w:t xml:space="preserve">s misconduct resulted in </w:t>
      </w:r>
      <w:r>
        <w:rPr>
          <w:bCs/>
        </w:rPr>
        <w:t>significant financial harm to his client</w:t>
      </w:r>
      <w:r w:rsidRPr="00664718">
        <w:rPr>
          <w:bCs/>
        </w:rPr>
        <w:t>.  (Std. 1.2(b)(iv).)  Said harm include</w:t>
      </w:r>
      <w:r>
        <w:rPr>
          <w:bCs/>
        </w:rPr>
        <w:t>s</w:t>
      </w:r>
      <w:r w:rsidRPr="00664718">
        <w:rPr>
          <w:bCs/>
        </w:rPr>
        <w:t xml:space="preserve"> his failure to refund $</w:t>
      </w:r>
      <w:r>
        <w:rPr>
          <w:bCs/>
        </w:rPr>
        <w:t>5,000</w:t>
      </w:r>
      <w:r w:rsidRPr="00664718">
        <w:rPr>
          <w:bCs/>
        </w:rPr>
        <w:t xml:space="preserve"> in unearned fees to </w:t>
      </w:r>
      <w:r>
        <w:t>Wichael</w:t>
      </w:r>
      <w:r w:rsidRPr="00664718">
        <w:rPr>
          <w:bCs/>
        </w:rPr>
        <w:t xml:space="preserve">.  </w:t>
      </w:r>
    </w:p>
    <w:p w:rsidR="00B31AB1" w:rsidRPr="00736BD0" w:rsidRDefault="00284D32" w:rsidP="00810DDF">
      <w:pPr>
        <w:spacing w:line="480" w:lineRule="auto"/>
        <w:jc w:val="center"/>
      </w:pPr>
      <w:r>
        <w:rPr>
          <w:b/>
          <w:bCs/>
        </w:rPr>
        <w:t>I</w:t>
      </w:r>
      <w:r w:rsidR="00097646" w:rsidRPr="00097646">
        <w:rPr>
          <w:b/>
          <w:bCs/>
        </w:rPr>
        <w:t>V.  Discussion</w:t>
      </w:r>
    </w:p>
    <w:p w:rsidR="00CB7071" w:rsidRDefault="00CB7071" w:rsidP="00B379DE">
      <w:pPr>
        <w:spacing w:line="480" w:lineRule="auto"/>
        <w:ind w:firstLine="720"/>
      </w:pPr>
      <w:r>
        <w:t>The purpose of State Bar disciplinary proceedings is not to punish the attorney, but to protect the public, to preserve public confidence in the profession, and to maintain the highest possible professional standards for attorneys.  (</w:t>
      </w:r>
      <w:r w:rsidRPr="00CB7071">
        <w:rPr>
          <w:i/>
        </w:rPr>
        <w:t>Chadwick v. State Bar</w:t>
      </w:r>
      <w:r>
        <w:t xml:space="preserve"> (1989) 49 Cal.3d 103, 111; </w:t>
      </w:r>
      <w:r w:rsidRPr="00CB7071">
        <w:rPr>
          <w:i/>
        </w:rPr>
        <w:t>Cooper v. State Bar</w:t>
      </w:r>
      <w:r>
        <w:t xml:space="preserve"> (1987) 43 Cal.3d 1016, 1025; std. 1.3.) </w:t>
      </w:r>
    </w:p>
    <w:p w:rsidR="00BD10B0" w:rsidRDefault="00CB7071" w:rsidP="00B379DE">
      <w:pPr>
        <w:spacing w:line="480" w:lineRule="auto"/>
        <w:ind w:firstLine="720"/>
      </w:pPr>
      <w:r>
        <w:t xml:space="preserve">Standard 1.6 provides that the appropriate sanction for the misconduct found must be balanced with any mitigating or aggravating circumstances, with due regard for the purposes of imposing discipline.  </w:t>
      </w:r>
      <w:r w:rsidR="00730CC1" w:rsidRPr="002713D5">
        <w:t>I</w:t>
      </w:r>
      <w:r w:rsidR="0097467F">
        <w:t>n this case, the standards call for</w:t>
      </w:r>
      <w:r w:rsidR="001A0C2F">
        <w:t xml:space="preserve"> discipline ranging from reproval to suspension depending on the extent of the misconduct and the degree of harm to the client</w:t>
      </w:r>
      <w:r w:rsidR="00A56FAD">
        <w:t>.  (Standard</w:t>
      </w:r>
      <w:r w:rsidR="00A56FAD" w:rsidRPr="002713D5">
        <w:t xml:space="preserve"> </w:t>
      </w:r>
      <w:r w:rsidR="00A56FAD">
        <w:t>2.</w:t>
      </w:r>
      <w:r w:rsidR="001A0C2F">
        <w:t>4</w:t>
      </w:r>
      <w:r w:rsidR="0081458F">
        <w:t>(b)</w:t>
      </w:r>
      <w:r w:rsidR="00A56FAD">
        <w:t>.)</w:t>
      </w:r>
      <w:r w:rsidR="00730CC1" w:rsidRPr="002713D5">
        <w:t xml:space="preserve">  </w:t>
      </w:r>
    </w:p>
    <w:p w:rsidR="00CB7071" w:rsidRDefault="00CB7071" w:rsidP="00B379DE">
      <w:pPr>
        <w:spacing w:line="480" w:lineRule="auto"/>
        <w:ind w:firstLine="720"/>
      </w:pPr>
      <w:r>
        <w:t>The Supreme Court gives the standards “great weight” and will reject a recommendation consistent with the standards only where the court entertains “grave doubts” as to its propriety.  (</w:t>
      </w:r>
      <w:r w:rsidRPr="00A52632">
        <w:rPr>
          <w:i/>
        </w:rPr>
        <w:t>In re Silverton</w:t>
      </w:r>
      <w:r>
        <w:t xml:space="preserve"> (2005) 36 Cal.4th 81, 91-92; </w:t>
      </w:r>
      <w:r w:rsidRPr="00A52632">
        <w:rPr>
          <w:i/>
        </w:rPr>
        <w:t>In re Naney</w:t>
      </w:r>
      <w:r>
        <w:t xml:space="preserve"> (1990) 51 Cal.3d 186, 190.)  The standards are not mandatory; they may be deviated from when there is a compelling, well-defined reason to do so.  (</w:t>
      </w:r>
      <w:r w:rsidRPr="00A52632">
        <w:rPr>
          <w:i/>
        </w:rPr>
        <w:t>Bates v. State Bar</w:t>
      </w:r>
      <w:r>
        <w:t xml:space="preserve"> (1990) 51 Cal.3d 1056, 1061, fn. 2; </w:t>
      </w:r>
      <w:r w:rsidRPr="00A52632">
        <w:rPr>
          <w:i/>
        </w:rPr>
        <w:t>Aronin v. State Bar</w:t>
      </w:r>
      <w:r>
        <w:t xml:space="preserve"> (1990) 52 Cal.3d 276, 291.)</w:t>
      </w:r>
    </w:p>
    <w:p w:rsidR="00081B91" w:rsidRDefault="006A3AC1" w:rsidP="00B379DE">
      <w:pPr>
        <w:spacing w:line="480" w:lineRule="auto"/>
        <w:ind w:firstLine="720"/>
      </w:pPr>
      <w:r>
        <w:t xml:space="preserve">The State Bar </w:t>
      </w:r>
      <w:r w:rsidR="009D6CD3">
        <w:t>has requested</w:t>
      </w:r>
      <w:r w:rsidR="00973334">
        <w:t>, among other things,</w:t>
      </w:r>
      <w:r w:rsidR="004867D4">
        <w:t xml:space="preserve"> that respondent be </w:t>
      </w:r>
      <w:r w:rsidR="00730CC1">
        <w:t xml:space="preserve">actually suspended for </w:t>
      </w:r>
      <w:r w:rsidR="00BA77AE">
        <w:t>six months</w:t>
      </w:r>
      <w:r>
        <w:t xml:space="preserve">.  </w:t>
      </w:r>
      <w:r w:rsidR="00C95D96">
        <w:t>In support of</w:t>
      </w:r>
      <w:r w:rsidR="00C95D96" w:rsidRPr="00881B0D">
        <w:t xml:space="preserve"> this recommendation</w:t>
      </w:r>
      <w:r w:rsidR="00C95D96">
        <w:t xml:space="preserve">, the State Bar cites </w:t>
      </w:r>
      <w:r w:rsidR="00C95D96">
        <w:rPr>
          <w:i/>
        </w:rPr>
        <w:t xml:space="preserve">King v. State Bar </w:t>
      </w:r>
      <w:r w:rsidR="00C95D96">
        <w:t>(1990) 52 Cal.3d 307</w:t>
      </w:r>
      <w:r w:rsidR="000065F4" w:rsidRPr="00881B0D">
        <w:t>.</w:t>
      </w:r>
      <w:r w:rsidR="001644D6">
        <w:t xml:space="preserve">  </w:t>
      </w:r>
    </w:p>
    <w:p w:rsidR="001644D6" w:rsidRPr="001644D6" w:rsidRDefault="001644D6" w:rsidP="001644D6">
      <w:pPr>
        <w:spacing w:line="480" w:lineRule="auto"/>
        <w:ind w:firstLine="720"/>
      </w:pPr>
      <w:r>
        <w:t xml:space="preserve">In </w:t>
      </w:r>
      <w:r w:rsidRPr="001644D6">
        <w:rPr>
          <w:i/>
        </w:rPr>
        <w:t>King</w:t>
      </w:r>
      <w:r>
        <w:t>, the attorney</w:t>
      </w:r>
      <w:r w:rsidRPr="001644D6">
        <w:t xml:space="preserve"> abandoned two clients, failed to forward their files promptly to successor counsel, and gave false assurances to one of the clients regarding the status of his case.  The </w:t>
      </w:r>
      <w:r>
        <w:t>attorney</w:t>
      </w:r>
      <w:r w:rsidRPr="001644D6">
        <w:t xml:space="preserve"> demonstrated a failure to accept responsibility for his actions and to appreciate the severity of his m</w:t>
      </w:r>
      <w:r>
        <w:t xml:space="preserve">isconduct.  </w:t>
      </w:r>
      <w:r w:rsidR="00B0113F">
        <w:t>The attorney’s misconduct also resulted in a</w:t>
      </w:r>
      <w:r w:rsidR="009E1225">
        <w:t>n</w:t>
      </w:r>
      <w:r w:rsidR="00B0113F">
        <w:t xml:space="preserve"> $84,000 default judgment against his client.  </w:t>
      </w:r>
      <w:r>
        <w:t>In mitigation, the attorney</w:t>
      </w:r>
      <w:r w:rsidRPr="001644D6">
        <w:t xml:space="preserve"> had no prior record of discipline.  Additionally, he was experiencing depression and financial difficulties, and was going through a marital dissolution.  The Supreme Court ordered that the </w:t>
      </w:r>
      <w:r>
        <w:t>attorney</w:t>
      </w:r>
      <w:r w:rsidR="00B0113F">
        <w:t xml:space="preserve"> be suspended for four </w:t>
      </w:r>
      <w:r w:rsidRPr="001644D6">
        <w:t>years, stayed, with four-years’ probation, and three-months’ actual suspension.</w:t>
      </w:r>
    </w:p>
    <w:p w:rsidR="00881B0D" w:rsidRDefault="001644D6" w:rsidP="00B379DE">
      <w:pPr>
        <w:spacing w:line="480" w:lineRule="auto"/>
        <w:ind w:firstLine="720"/>
      </w:pPr>
      <w:r>
        <w:t xml:space="preserve">The court finds respondent’s misconduct to be </w:t>
      </w:r>
      <w:r w:rsidR="00D32E3A">
        <w:t xml:space="preserve">considerably </w:t>
      </w:r>
      <w:r w:rsidR="00A12193">
        <w:t>less egregious than</w:t>
      </w:r>
      <w:r>
        <w:t xml:space="preserve"> </w:t>
      </w:r>
      <w:r w:rsidRPr="00765A5E">
        <w:rPr>
          <w:i/>
        </w:rPr>
        <w:t>King</w:t>
      </w:r>
      <w:r>
        <w:t xml:space="preserve">.  </w:t>
      </w:r>
      <w:r w:rsidRPr="00765A5E">
        <w:rPr>
          <w:i/>
        </w:rPr>
        <w:t>King</w:t>
      </w:r>
      <w:r>
        <w:t xml:space="preserve"> involved two clients</w:t>
      </w:r>
      <w:r w:rsidR="00DB4663">
        <w:t>, plus</w:t>
      </w:r>
      <w:r>
        <w:t xml:space="preserve"> the added element</w:t>
      </w:r>
      <w:r w:rsidR="00DB4663">
        <w:t>s</w:t>
      </w:r>
      <w:r>
        <w:t xml:space="preserve"> of deceit</w:t>
      </w:r>
      <w:r w:rsidR="00DB4663">
        <w:t xml:space="preserve"> and extensive client harm</w:t>
      </w:r>
      <w:r>
        <w:t xml:space="preserve">.  </w:t>
      </w:r>
      <w:r w:rsidR="00765A5E">
        <w:t>Although th</w:t>
      </w:r>
      <w:r w:rsidR="00D32E3A">
        <w:t xml:space="preserve">is matter </w:t>
      </w:r>
      <w:r w:rsidR="00765A5E">
        <w:t xml:space="preserve">warrants less discipline than </w:t>
      </w:r>
      <w:r w:rsidR="00765A5E" w:rsidRPr="00A01954">
        <w:rPr>
          <w:i/>
        </w:rPr>
        <w:t>King</w:t>
      </w:r>
      <w:r w:rsidR="00765A5E">
        <w:t xml:space="preserve">, respondent’s failure to </w:t>
      </w:r>
      <w:r w:rsidR="005F7D36">
        <w:t xml:space="preserve">timely </w:t>
      </w:r>
      <w:r w:rsidR="00765A5E">
        <w:t>participate</w:t>
      </w:r>
      <w:r w:rsidR="002256BE">
        <w:t>, despite his having knowledge of the present proceedings, is a significant factor in aggravation</w:t>
      </w:r>
      <w:r>
        <w:t>.</w:t>
      </w:r>
      <w:r w:rsidR="00AC1CDC">
        <w:t xml:space="preserve">  </w:t>
      </w:r>
      <w:r w:rsidR="00CF04D7">
        <w:t xml:space="preserve">Accordingly, the court </w:t>
      </w:r>
      <w:r w:rsidR="00872E51">
        <w:t xml:space="preserve">recommends, among other things, that respondent be suspended from the practice of law for a minimum </w:t>
      </w:r>
      <w:r w:rsidR="00AC1CDC">
        <w:t xml:space="preserve">of </w:t>
      </w:r>
      <w:r w:rsidR="00872E51">
        <w:t>60 days</w:t>
      </w:r>
      <w:r w:rsidR="00CF04D7">
        <w:t xml:space="preserve">.  </w:t>
      </w:r>
    </w:p>
    <w:p w:rsidR="00B31AB1" w:rsidRDefault="00B9402F" w:rsidP="00B379DE">
      <w:pPr>
        <w:tabs>
          <w:tab w:val="center" w:pos="4680"/>
        </w:tabs>
        <w:spacing w:line="480" w:lineRule="auto"/>
        <w:jc w:val="center"/>
        <w:rPr>
          <w:b/>
          <w:bCs/>
        </w:rPr>
      </w:pPr>
      <w:r w:rsidRPr="00B9402F">
        <w:rPr>
          <w:b/>
          <w:bCs/>
        </w:rPr>
        <w:t>V.  Recommended Discipline</w:t>
      </w:r>
    </w:p>
    <w:p w:rsidR="00F303BC" w:rsidRDefault="000567D3" w:rsidP="00B379DE">
      <w:pPr>
        <w:spacing w:line="480" w:lineRule="auto"/>
        <w:ind w:firstLine="720"/>
      </w:pPr>
      <w:r>
        <w:t>T</w:t>
      </w:r>
      <w:r w:rsidR="002A219A">
        <w:t xml:space="preserve">he court recommends that respondent </w:t>
      </w:r>
      <w:r w:rsidR="006E55D2">
        <w:rPr>
          <w:b/>
        </w:rPr>
        <w:t>Sean Donrad</w:t>
      </w:r>
      <w:r w:rsidR="002A219A">
        <w:t xml:space="preserve"> be suspended from the practice of law for </w:t>
      </w:r>
      <w:r w:rsidR="008719C8">
        <w:t>one year</w:t>
      </w:r>
      <w:r w:rsidR="00893764">
        <w:t xml:space="preserve">, </w:t>
      </w:r>
      <w:r w:rsidR="00893764" w:rsidRPr="00B11F2B">
        <w:t>that execution of the suspension be stayed,</w:t>
      </w:r>
      <w:r w:rsidR="00B8273B">
        <w:t xml:space="preserve"> and </w:t>
      </w:r>
      <w:r w:rsidR="002A219A">
        <w:t xml:space="preserve">that respondent be actually suspended from the practice of law for </w:t>
      </w:r>
      <w:r w:rsidR="008719C8">
        <w:t>6</w:t>
      </w:r>
      <w:r w:rsidR="007A59A1">
        <w:t>0</w:t>
      </w:r>
      <w:r w:rsidR="009171CB">
        <w:t xml:space="preserve"> days and until</w:t>
      </w:r>
      <w:r w:rsidR="00F303BC">
        <w:t>:</w:t>
      </w:r>
    </w:p>
    <w:p w:rsidR="00F303BC" w:rsidRDefault="00F303BC" w:rsidP="00B379DE">
      <w:pPr>
        <w:spacing w:line="480" w:lineRule="auto"/>
        <w:ind w:firstLine="720"/>
      </w:pPr>
      <w:r>
        <w:t>(1)  T</w:t>
      </w:r>
      <w:r w:rsidR="002A219A">
        <w:t>he court grants a motion to terminate his actual suspension pursuant to rule 205 of the Rules of Procedure of the State Bar of California</w:t>
      </w:r>
      <w:r>
        <w:t xml:space="preserve">; and </w:t>
      </w:r>
    </w:p>
    <w:p w:rsidR="002A219A" w:rsidRDefault="00F303BC" w:rsidP="00B379DE">
      <w:pPr>
        <w:spacing w:line="480" w:lineRule="auto"/>
        <w:ind w:firstLine="720"/>
      </w:pPr>
      <w:r>
        <w:t xml:space="preserve">(2)  He makes restitution to </w:t>
      </w:r>
      <w:r w:rsidR="008719C8">
        <w:t>Sharon Wichael</w:t>
      </w:r>
      <w:r>
        <w:t xml:space="preserve"> in the amount of $</w:t>
      </w:r>
      <w:r w:rsidR="008719C8">
        <w:t>5</w:t>
      </w:r>
      <w:r>
        <w:t>,</w:t>
      </w:r>
      <w:r w:rsidR="008719C8">
        <w:t>0</w:t>
      </w:r>
      <w:r>
        <w:t xml:space="preserve">00 plus 10% interest per annum from </w:t>
      </w:r>
      <w:r w:rsidR="008719C8">
        <w:t>March 1</w:t>
      </w:r>
      <w:r w:rsidR="00F82A69">
        <w:t>, 2009</w:t>
      </w:r>
      <w:r>
        <w:t xml:space="preserve"> (or to the Client Security Fund to the extent of any payment from the fund to </w:t>
      </w:r>
      <w:r w:rsidR="008719C8">
        <w:t>Sharon Wichael</w:t>
      </w:r>
      <w:r>
        <w:t>, plus interest and costs, in accordance with Business and Professions Code section 6140.5), and furnishes satisfactory proof thereof to the State Bar's Office of Probation.</w:t>
      </w:r>
      <w:r>
        <w:rPr>
          <w:rStyle w:val="FootnoteReference"/>
        </w:rPr>
        <w:footnoteReference w:id="7"/>
      </w:r>
      <w:r w:rsidR="009171CB">
        <w:t xml:space="preserve"> </w:t>
      </w:r>
      <w:r w:rsidR="002A219A">
        <w:t xml:space="preserve"> </w:t>
      </w:r>
    </w:p>
    <w:p w:rsidR="00B25E9E" w:rsidRDefault="00B25E9E" w:rsidP="00B379DE">
      <w:pPr>
        <w:spacing w:line="480" w:lineRule="auto"/>
        <w:ind w:firstLine="720"/>
      </w:pPr>
      <w:r>
        <w:t>If the period of actual suspension reaches or exceeds two years, it is further recommended that respondent remain actually suspended until he has shown proof satisfactory to the State Bar Court of rehabilitation, present fitness to practice, and present learning and ability in the general law pursuant to standard 1.4(c)(ii), Standards for Attorney Sanctions for Profes</w:t>
      </w:r>
      <w:r w:rsidR="0097749E">
        <w:t>sional Misconduct.  (</w:t>
      </w:r>
      <w:r w:rsidR="0097749E" w:rsidRPr="0097749E">
        <w:t>See</w:t>
      </w:r>
      <w:r w:rsidR="0097749E">
        <w:t xml:space="preserve"> Rules Proc. of State Bar, r</w:t>
      </w:r>
      <w:r>
        <w:t>ule</w:t>
      </w:r>
      <w:r w:rsidR="00BD6097">
        <w:t>s</w:t>
      </w:r>
      <w:r>
        <w:t xml:space="preserve"> </w:t>
      </w:r>
      <w:r w:rsidR="00BD6097">
        <w:t>5.400-5.411</w:t>
      </w:r>
      <w:r>
        <w:t>.)</w:t>
      </w:r>
    </w:p>
    <w:p w:rsidR="002A219A" w:rsidRDefault="002A219A" w:rsidP="00B379DE">
      <w:pPr>
        <w:spacing w:line="480" w:lineRule="auto"/>
        <w:ind w:firstLine="720"/>
      </w:pPr>
      <w:r>
        <w:t>It is also recommended that respondent be ordered to comply with the conditions of probation, if any, hereinafter imposed by the State Bar Court as a condition for terminating his actual suspension.</w:t>
      </w:r>
    </w:p>
    <w:p w:rsidR="002A219A" w:rsidRPr="005A0066" w:rsidRDefault="002A219A" w:rsidP="00B379DE">
      <w:pPr>
        <w:spacing w:line="480" w:lineRule="auto"/>
        <w:ind w:firstLine="720"/>
      </w:pPr>
      <w:r>
        <w:t xml:space="preserve">The court further recommends that </w:t>
      </w:r>
      <w:r w:rsidR="005A0066">
        <w:t xml:space="preserve">if </w:t>
      </w:r>
      <w:r>
        <w:t xml:space="preserve">respondent </w:t>
      </w:r>
      <w:r w:rsidR="005A0066" w:rsidRPr="005A0066">
        <w:t xml:space="preserve">remains suspended for 90 days or more, </w:t>
      </w:r>
      <w:r w:rsidR="005A0066">
        <w:t xml:space="preserve">he </w:t>
      </w:r>
      <w:r>
        <w:t xml:space="preserve">be ordered to comply with California Rules of Court, rule 9.20 and to perform the acts specified in subdivisions (a) and (c) of that rule within </w:t>
      </w:r>
      <w:r w:rsidR="005A0066" w:rsidRPr="005A0066">
        <w:t>120 and 130</w:t>
      </w:r>
      <w:r>
        <w:t xml:space="preserve"> calendar days, respectively, after the effective date of the Supreme Court order in this matter.</w:t>
      </w:r>
      <w:r>
        <w:rPr>
          <w:rStyle w:val="FootnoteReference"/>
        </w:rPr>
        <w:footnoteReference w:id="8"/>
      </w:r>
      <w:r w:rsidR="005A0066">
        <w:t xml:space="preserve">  </w:t>
      </w:r>
    </w:p>
    <w:p w:rsidR="00607EF2" w:rsidRDefault="002A219A" w:rsidP="00B379DE">
      <w:pPr>
        <w:spacing w:line="480" w:lineRule="auto"/>
        <w:ind w:firstLine="720"/>
      </w:pPr>
      <w:r>
        <w:t xml:space="preserve">It is further recommended that respondent be ordered to take and pass the Multistate Professional Responsibility Examination given by the National Conference of Bar Examiners </w:t>
      </w:r>
      <w:r w:rsidR="00FE028C" w:rsidRPr="002713D5">
        <w:t>and provide proof of passage to the Office of Probation, within one year after the effective date of the discipline herein</w:t>
      </w:r>
      <w:r w:rsidR="00FE028C">
        <w:t xml:space="preserve"> or </w:t>
      </w:r>
      <w:r>
        <w:t>during the period of his actual suspension</w:t>
      </w:r>
      <w:r w:rsidR="00FE028C">
        <w:t>, whichever is longer.</w:t>
      </w:r>
      <w:r>
        <w:t xml:space="preserve"> </w:t>
      </w:r>
    </w:p>
    <w:p w:rsidR="003C3FF1" w:rsidRPr="00120C59" w:rsidRDefault="00284D32" w:rsidP="00B379DE">
      <w:pPr>
        <w:spacing w:line="480" w:lineRule="auto"/>
        <w:jc w:val="center"/>
        <w:rPr>
          <w:b/>
        </w:rPr>
      </w:pPr>
      <w:r>
        <w:rPr>
          <w:b/>
        </w:rPr>
        <w:t>VI</w:t>
      </w:r>
      <w:r w:rsidR="003C3FF1" w:rsidRPr="00120C59">
        <w:rPr>
          <w:b/>
        </w:rPr>
        <w:t>.  Costs</w:t>
      </w:r>
    </w:p>
    <w:p w:rsidR="003C3FF1" w:rsidRDefault="003C3FF1" w:rsidP="00893764">
      <w:pPr>
        <w:spacing w:line="480" w:lineRule="auto"/>
        <w:ind w:firstLine="720"/>
      </w:pPr>
      <w:r>
        <w:t>It is recommended that costs be awarded to the State Bar in accordance with Business and Professions Code section 6086.10 and are enforceable both as provided in Business and Professions Code section 6140.7 and as a money judgment.</w:t>
      </w:r>
    </w:p>
    <w:p w:rsidR="003D3B12" w:rsidRDefault="003D3B12">
      <w:pPr>
        <w:pStyle w:val="Header"/>
        <w:tabs>
          <w:tab w:val="clear" w:pos="4320"/>
          <w:tab w:val="clear" w:pos="8640"/>
        </w:tabs>
        <w:spacing w:line="480" w:lineRule="auto"/>
      </w:pPr>
    </w:p>
    <w:p w:rsidR="00607EF2" w:rsidRDefault="00607EF2">
      <w:pPr>
        <w:pStyle w:val="Header"/>
        <w:tabs>
          <w:tab w:val="clear" w:pos="4320"/>
          <w:tab w:val="clear" w:pos="8640"/>
        </w:tabs>
        <w:spacing w:line="480" w:lineRule="auto"/>
      </w:pPr>
    </w:p>
    <w:tbl>
      <w:tblPr>
        <w:tblW w:w="0" w:type="auto"/>
        <w:tblInd w:w="5" w:type="dxa"/>
        <w:tblBorders>
          <w:left w:val="single" w:sz="4" w:space="0" w:color="auto"/>
          <w:bottom w:val="single" w:sz="4" w:space="0" w:color="auto"/>
          <w:right w:val="single" w:sz="4" w:space="0" w:color="auto"/>
        </w:tblBorders>
        <w:tblCellMar>
          <w:left w:w="0" w:type="dxa"/>
          <w:right w:w="0" w:type="dxa"/>
        </w:tblCellMar>
        <w:tblLook w:val="0000"/>
      </w:tblPr>
      <w:tblGrid>
        <w:gridCol w:w="4795"/>
        <w:gridCol w:w="4560"/>
      </w:tblGrid>
      <w:tr w:rsidR="003D3B12">
        <w:tc>
          <w:tcPr>
            <w:tcW w:w="4800" w:type="dxa"/>
            <w:tcBorders>
              <w:left w:val="nil"/>
              <w:bottom w:val="nil"/>
            </w:tcBorders>
          </w:tcPr>
          <w:p w:rsidR="003D3B12" w:rsidRDefault="003D3B12">
            <w:pPr>
              <w:pStyle w:val="Header"/>
              <w:tabs>
                <w:tab w:val="clear" w:pos="4320"/>
                <w:tab w:val="clear" w:pos="8640"/>
              </w:tabs>
            </w:pPr>
            <w:r>
              <w:t xml:space="preserve">Dated:  </w:t>
            </w:r>
            <w:fldSimple w:instr=" DATE \@ &quot;MMMM _____, yyyy&quot; \* MERGEFORMAT ">
              <w:r w:rsidR="00E51682">
                <w:rPr>
                  <w:noProof/>
                </w:rPr>
                <w:t>March _____, 2011</w:t>
              </w:r>
            </w:fldSimple>
          </w:p>
        </w:tc>
        <w:tc>
          <w:tcPr>
            <w:tcW w:w="4565" w:type="dxa"/>
            <w:tcBorders>
              <w:top w:val="single" w:sz="4" w:space="0" w:color="auto"/>
              <w:bottom w:val="nil"/>
              <w:right w:val="nil"/>
            </w:tcBorders>
          </w:tcPr>
          <w:p w:rsidR="003D3B12" w:rsidRDefault="004D2426">
            <w:bookmarkStart w:id="6" w:name="judge"/>
            <w:bookmarkEnd w:id="6"/>
            <w:r>
              <w:t>PAT McELROY</w:t>
            </w:r>
          </w:p>
        </w:tc>
      </w:tr>
      <w:tr w:rsidR="003D3B12">
        <w:tc>
          <w:tcPr>
            <w:tcW w:w="4800" w:type="dxa"/>
            <w:tcBorders>
              <w:left w:val="nil"/>
              <w:bottom w:val="nil"/>
            </w:tcBorders>
          </w:tcPr>
          <w:p w:rsidR="003D3B12" w:rsidRDefault="003D3B12"/>
        </w:tc>
        <w:tc>
          <w:tcPr>
            <w:tcW w:w="4565" w:type="dxa"/>
            <w:tcBorders>
              <w:bottom w:val="nil"/>
              <w:right w:val="nil"/>
            </w:tcBorders>
          </w:tcPr>
          <w:p w:rsidR="003D3B12" w:rsidRDefault="003D3B12">
            <w:r>
              <w:t>Judge of the State Bar Court</w:t>
            </w:r>
          </w:p>
        </w:tc>
      </w:tr>
    </w:tbl>
    <w:p w:rsidR="003D3B12" w:rsidRDefault="003D3B12" w:rsidP="00607EF2">
      <w:pPr>
        <w:spacing w:line="480" w:lineRule="auto"/>
      </w:pPr>
    </w:p>
    <w:sectPr w:rsidR="003D3B12" w:rsidSect="00B379DE">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360" w:left="1440" w:header="720" w:footer="720" w:gutter="0"/>
      <w:pgNumType w:fmt="numberInDash"/>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7757" w:rsidRDefault="00177757">
      <w:r>
        <w:separator/>
      </w:r>
    </w:p>
  </w:endnote>
  <w:endnote w:type="continuationSeparator" w:id="0">
    <w:p w:rsidR="00177757" w:rsidRDefault="001777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nsolas">
    <w:panose1 w:val="020B0609020204030204"/>
    <w:charset w:val="00"/>
    <w:family w:val="modern"/>
    <w:pitch w:val="fixed"/>
    <w:sig w:usb0="A00002EF" w:usb1="4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757" w:rsidRDefault="00655E7F" w:rsidP="003B44D5">
    <w:pPr>
      <w:pStyle w:val="Footer"/>
      <w:framePr w:wrap="around" w:vAnchor="text" w:hAnchor="margin" w:xAlign="center" w:y="1"/>
      <w:rPr>
        <w:rStyle w:val="PageNumber"/>
      </w:rPr>
    </w:pPr>
    <w:r>
      <w:rPr>
        <w:rStyle w:val="PageNumber"/>
      </w:rPr>
      <w:fldChar w:fldCharType="begin"/>
    </w:r>
    <w:r w:rsidR="00177757">
      <w:rPr>
        <w:rStyle w:val="PageNumber"/>
      </w:rPr>
      <w:instrText xml:space="preserve">PAGE  </w:instrText>
    </w:r>
    <w:r>
      <w:rPr>
        <w:rStyle w:val="PageNumber"/>
      </w:rPr>
      <w:fldChar w:fldCharType="end"/>
    </w:r>
  </w:p>
  <w:p w:rsidR="00177757" w:rsidRDefault="0017775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757" w:rsidRDefault="00655E7F" w:rsidP="00200B09">
    <w:pPr>
      <w:pStyle w:val="Footer"/>
      <w:framePr w:wrap="around" w:vAnchor="text" w:hAnchor="margin" w:xAlign="center" w:y="1"/>
      <w:rPr>
        <w:rStyle w:val="PageNumber"/>
      </w:rPr>
    </w:pPr>
    <w:r>
      <w:rPr>
        <w:rStyle w:val="PageNumber"/>
      </w:rPr>
      <w:fldChar w:fldCharType="begin"/>
    </w:r>
    <w:r w:rsidR="00177757">
      <w:rPr>
        <w:rStyle w:val="PageNumber"/>
      </w:rPr>
      <w:instrText xml:space="preserve">PAGE  </w:instrText>
    </w:r>
    <w:r>
      <w:rPr>
        <w:rStyle w:val="PageNumber"/>
      </w:rPr>
      <w:fldChar w:fldCharType="separate"/>
    </w:r>
    <w:r w:rsidR="00E51682">
      <w:rPr>
        <w:rStyle w:val="PageNumber"/>
        <w:noProof/>
      </w:rPr>
      <w:t>- 8 -</w:t>
    </w:r>
    <w:r>
      <w:rPr>
        <w:rStyle w:val="PageNumber"/>
      </w:rPr>
      <w:fldChar w:fldCharType="end"/>
    </w:r>
  </w:p>
  <w:p w:rsidR="00177757" w:rsidRDefault="00177757">
    <w:pPr>
      <w:pStyle w:val="Footer"/>
    </w:pP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757" w:rsidRDefault="00177757">
    <w:pPr>
      <w:pStyle w:val="Footer"/>
      <w:framePr w:wrap="around" w:vAnchor="text" w:hAnchor="margin" w:xAlign="center" w:y="1"/>
      <w:rPr>
        <w:rStyle w:val="PageNumber"/>
      </w:rPr>
    </w:pPr>
  </w:p>
  <w:p w:rsidR="00177757" w:rsidRDefault="0017775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7757" w:rsidRDefault="00177757">
      <w:r>
        <w:separator/>
      </w:r>
    </w:p>
  </w:footnote>
  <w:footnote w:type="continuationSeparator" w:id="0">
    <w:p w:rsidR="00177757" w:rsidRDefault="00177757">
      <w:r>
        <w:continuationSeparator/>
      </w:r>
    </w:p>
  </w:footnote>
  <w:footnote w:id="1">
    <w:p w:rsidR="00177757" w:rsidRDefault="00177757">
      <w:pPr>
        <w:pStyle w:val="FootnoteText"/>
      </w:pPr>
      <w:r>
        <w:rPr>
          <w:rStyle w:val="FootnoteReference"/>
        </w:rPr>
        <w:footnoteRef/>
      </w:r>
      <w:r>
        <w:t xml:space="preserve"> Effective January 1, 2011, the Rules of Procedure of the State Bar of California were amended.  Based on the court’s determination that injustice would otherwise result, the court applied the Former Rules of Procedure in this proceeding.</w:t>
      </w:r>
    </w:p>
  </w:footnote>
  <w:footnote w:id="2">
    <w:p w:rsidR="00177757" w:rsidRDefault="00177757">
      <w:pPr>
        <w:pStyle w:val="FootnoteText"/>
      </w:pPr>
      <w:r>
        <w:rPr>
          <w:rStyle w:val="FootnoteReference"/>
        </w:rPr>
        <w:footnoteRef/>
      </w:r>
      <w:r>
        <w:t xml:space="preserve"> The State Bar also requested that the court take judicial notice of respondent’s official membership records address history.  The court grants this request.</w:t>
      </w:r>
    </w:p>
  </w:footnote>
  <w:footnote w:id="3">
    <w:p w:rsidR="00177757" w:rsidRDefault="00177757" w:rsidP="00B31AB1">
      <w:pPr>
        <w:spacing w:after="240"/>
        <w:ind w:firstLine="720"/>
      </w:pPr>
      <w:r>
        <w:rPr>
          <w:rStyle w:val="FootnoteReference"/>
        </w:rPr>
        <w:footnoteRef/>
      </w:r>
      <w:r>
        <w:t xml:space="preserve"> Respondent’s involuntary inactive enrollment pursuant to Business and Professions Code section 6007, subdivision (e), was effective three days after the service of this order by mail. </w:t>
      </w:r>
    </w:p>
  </w:footnote>
  <w:footnote w:id="4">
    <w:p w:rsidR="00177757" w:rsidRPr="004B31C1" w:rsidRDefault="00177757" w:rsidP="002A3D64">
      <w:pPr>
        <w:pStyle w:val="FootnoteText"/>
        <w:rPr>
          <w:szCs w:val="24"/>
        </w:rPr>
      </w:pPr>
      <w:r w:rsidRPr="004B31C1">
        <w:rPr>
          <w:rStyle w:val="FootnoteReference"/>
          <w:szCs w:val="24"/>
        </w:rPr>
        <w:footnoteRef/>
      </w:r>
      <w:r w:rsidRPr="004B31C1">
        <w:rPr>
          <w:szCs w:val="24"/>
        </w:rPr>
        <w:t xml:space="preserve"> </w:t>
      </w:r>
      <w:r>
        <w:rPr>
          <w:color w:val="000000"/>
          <w:szCs w:val="24"/>
        </w:rPr>
        <w:t>The</w:t>
      </w:r>
      <w:r w:rsidRPr="00E619CE">
        <w:rPr>
          <w:color w:val="000000"/>
          <w:szCs w:val="24"/>
        </w:rPr>
        <w:t xml:space="preserve"> </w:t>
      </w:r>
      <w:r>
        <w:rPr>
          <w:color w:val="000000"/>
          <w:szCs w:val="24"/>
        </w:rPr>
        <w:t>NDC was filed on October 29, 2010.  There is no indication in the record that respondent has since returned Wichael’s file.</w:t>
      </w:r>
    </w:p>
  </w:footnote>
  <w:footnote w:id="5">
    <w:p w:rsidR="00177757" w:rsidRDefault="00177757" w:rsidP="00C57FE1">
      <w:pPr>
        <w:pStyle w:val="FootnoteText"/>
      </w:pPr>
      <w:r>
        <w:rPr>
          <w:rStyle w:val="FootnoteReference"/>
        </w:rPr>
        <w:footnoteRef/>
      </w:r>
      <w:r>
        <w:t xml:space="preserve"> All further references </w:t>
      </w:r>
      <w:r>
        <w:rPr>
          <w:lang w:val="en-CA"/>
        </w:rPr>
        <w:t>to rule(s) are to the current Rules of Professional Conduct of the State Bar of California, unless otherwise stated.</w:t>
      </w:r>
    </w:p>
  </w:footnote>
  <w:footnote w:id="6">
    <w:p w:rsidR="00177757" w:rsidRDefault="00177757" w:rsidP="00096498">
      <w:pPr>
        <w:pStyle w:val="FootnoteText"/>
      </w:pPr>
      <w:r>
        <w:rPr>
          <w:rStyle w:val="FootnoteReference"/>
        </w:rPr>
        <w:footnoteRef/>
      </w:r>
      <w:r>
        <w:t xml:space="preserve"> All further references to standard(s) are to this source.</w:t>
      </w:r>
    </w:p>
  </w:footnote>
  <w:footnote w:id="7">
    <w:p w:rsidR="00177757" w:rsidRDefault="00177757">
      <w:pPr>
        <w:pStyle w:val="FootnoteText"/>
      </w:pPr>
      <w:r>
        <w:rPr>
          <w:rStyle w:val="FootnoteReference"/>
        </w:rPr>
        <w:footnoteRef/>
      </w:r>
      <w:r>
        <w:t xml:space="preserve"> Any restitution owed to the Client Security Fund is enforceable as provided in Business and Professions Code section 6140.5, subdivisions (c) and (d).</w:t>
      </w:r>
    </w:p>
  </w:footnote>
  <w:footnote w:id="8">
    <w:p w:rsidR="00177757" w:rsidRDefault="00177757" w:rsidP="002A219A">
      <w:pPr>
        <w:pStyle w:val="FootnoteText"/>
      </w:pPr>
      <w:r>
        <w:rPr>
          <w:rStyle w:val="FootnoteReference"/>
        </w:rPr>
        <w:footnoteRef/>
      </w:r>
      <w:r>
        <w:t xml:space="preserve"> Respondent is required to file a rule 9.20(c) affidavit even if he has no clients to notify on the date the Supreme Court files its order in this proceeding.  (</w:t>
      </w:r>
      <w:r>
        <w:rPr>
          <w:i/>
          <w:iCs/>
        </w:rPr>
        <w:t>Powers v. State Bar</w:t>
      </w:r>
      <w:r>
        <w:t xml:space="preserve"> (1988) 44 Cal.3d 337, 341.)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682" w:rsidRDefault="00E5168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682" w:rsidRDefault="00E5168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682" w:rsidRDefault="00E5168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removePersonalInformation/>
  <w:removeDateAndTime/>
  <w:proofState w:spelling="clean"/>
  <w:defaultTabStop w:val="720"/>
  <w:drawingGridHorizontalSpacing w:val="120"/>
  <w:displayHorizontalDrawingGridEvery w:val="2"/>
  <w:displayVerticalDrawingGridEvery w:val="2"/>
  <w:noPunctuationKerning/>
  <w:characterSpacingControl w:val="doNotCompress"/>
  <w:hdrShapeDefaults>
    <o:shapedefaults v:ext="edit" spidmax="41985"/>
  </w:hdrShapeDefaults>
  <w:footnotePr>
    <w:footnote w:id="-1"/>
    <w:footnote w:id="0"/>
  </w:footnotePr>
  <w:endnotePr>
    <w:endnote w:id="-1"/>
    <w:endnote w:id="0"/>
  </w:endnotePr>
  <w:compat/>
  <w:rsids>
    <w:rsidRoot w:val="003D5F75"/>
    <w:rsid w:val="00000346"/>
    <w:rsid w:val="00002E4F"/>
    <w:rsid w:val="000065F4"/>
    <w:rsid w:val="00015208"/>
    <w:rsid w:val="00022F97"/>
    <w:rsid w:val="0003230A"/>
    <w:rsid w:val="000366BA"/>
    <w:rsid w:val="00043F67"/>
    <w:rsid w:val="00047E76"/>
    <w:rsid w:val="00054C8E"/>
    <w:rsid w:val="000567D3"/>
    <w:rsid w:val="0005722E"/>
    <w:rsid w:val="00057F82"/>
    <w:rsid w:val="00063AE1"/>
    <w:rsid w:val="00072164"/>
    <w:rsid w:val="00075710"/>
    <w:rsid w:val="00075AC6"/>
    <w:rsid w:val="0007740B"/>
    <w:rsid w:val="00081B91"/>
    <w:rsid w:val="00086203"/>
    <w:rsid w:val="00090F7A"/>
    <w:rsid w:val="00091BBD"/>
    <w:rsid w:val="00092D7C"/>
    <w:rsid w:val="00093B68"/>
    <w:rsid w:val="00094890"/>
    <w:rsid w:val="00095EF2"/>
    <w:rsid w:val="00096498"/>
    <w:rsid w:val="00096658"/>
    <w:rsid w:val="00096A0B"/>
    <w:rsid w:val="00097646"/>
    <w:rsid w:val="000A1BE3"/>
    <w:rsid w:val="000A5752"/>
    <w:rsid w:val="000A73D1"/>
    <w:rsid w:val="000B28FD"/>
    <w:rsid w:val="000B6DC3"/>
    <w:rsid w:val="000C2ABD"/>
    <w:rsid w:val="000C448E"/>
    <w:rsid w:val="000C757C"/>
    <w:rsid w:val="000E0A69"/>
    <w:rsid w:val="000E2DA1"/>
    <w:rsid w:val="000E3126"/>
    <w:rsid w:val="000E6F50"/>
    <w:rsid w:val="000F0F64"/>
    <w:rsid w:val="000F15FC"/>
    <w:rsid w:val="000F418E"/>
    <w:rsid w:val="000F4817"/>
    <w:rsid w:val="001010CE"/>
    <w:rsid w:val="00101D92"/>
    <w:rsid w:val="00104D9E"/>
    <w:rsid w:val="00104E3F"/>
    <w:rsid w:val="00110F2D"/>
    <w:rsid w:val="0011166A"/>
    <w:rsid w:val="00112CBE"/>
    <w:rsid w:val="0011460F"/>
    <w:rsid w:val="0011509C"/>
    <w:rsid w:val="0011747A"/>
    <w:rsid w:val="00120C59"/>
    <w:rsid w:val="001219A0"/>
    <w:rsid w:val="00123A84"/>
    <w:rsid w:val="00124E58"/>
    <w:rsid w:val="00133D1C"/>
    <w:rsid w:val="00133EAD"/>
    <w:rsid w:val="00136D2A"/>
    <w:rsid w:val="00146AB8"/>
    <w:rsid w:val="001473ED"/>
    <w:rsid w:val="00150791"/>
    <w:rsid w:val="001526E5"/>
    <w:rsid w:val="00153063"/>
    <w:rsid w:val="00153D5A"/>
    <w:rsid w:val="00154202"/>
    <w:rsid w:val="00154FD4"/>
    <w:rsid w:val="00155190"/>
    <w:rsid w:val="00157397"/>
    <w:rsid w:val="00157F97"/>
    <w:rsid w:val="00160AE1"/>
    <w:rsid w:val="0016103A"/>
    <w:rsid w:val="001621CE"/>
    <w:rsid w:val="001644D6"/>
    <w:rsid w:val="00174618"/>
    <w:rsid w:val="0017498D"/>
    <w:rsid w:val="00176A65"/>
    <w:rsid w:val="00177757"/>
    <w:rsid w:val="001835D4"/>
    <w:rsid w:val="001835EE"/>
    <w:rsid w:val="00193809"/>
    <w:rsid w:val="00194F74"/>
    <w:rsid w:val="00197123"/>
    <w:rsid w:val="001A0C2F"/>
    <w:rsid w:val="001A1144"/>
    <w:rsid w:val="001A1F68"/>
    <w:rsid w:val="001A272F"/>
    <w:rsid w:val="001A281A"/>
    <w:rsid w:val="001A4DE5"/>
    <w:rsid w:val="001B03D6"/>
    <w:rsid w:val="001B0A13"/>
    <w:rsid w:val="001C29CC"/>
    <w:rsid w:val="001C328A"/>
    <w:rsid w:val="001C37EF"/>
    <w:rsid w:val="001C4B0C"/>
    <w:rsid w:val="001D6B92"/>
    <w:rsid w:val="001E0353"/>
    <w:rsid w:val="001E3DB4"/>
    <w:rsid w:val="00200B09"/>
    <w:rsid w:val="00217334"/>
    <w:rsid w:val="00221148"/>
    <w:rsid w:val="0022275F"/>
    <w:rsid w:val="00222FCF"/>
    <w:rsid w:val="002256BE"/>
    <w:rsid w:val="00227E00"/>
    <w:rsid w:val="00230348"/>
    <w:rsid w:val="002317C8"/>
    <w:rsid w:val="00235A11"/>
    <w:rsid w:val="00236291"/>
    <w:rsid w:val="00237464"/>
    <w:rsid w:val="00240A92"/>
    <w:rsid w:val="00244A11"/>
    <w:rsid w:val="00246FDA"/>
    <w:rsid w:val="00250CD7"/>
    <w:rsid w:val="00257203"/>
    <w:rsid w:val="002607AD"/>
    <w:rsid w:val="00262734"/>
    <w:rsid w:val="0027018E"/>
    <w:rsid w:val="00270573"/>
    <w:rsid w:val="0027166A"/>
    <w:rsid w:val="0027266A"/>
    <w:rsid w:val="00273171"/>
    <w:rsid w:val="002751CC"/>
    <w:rsid w:val="0027587C"/>
    <w:rsid w:val="0028210B"/>
    <w:rsid w:val="00284D32"/>
    <w:rsid w:val="0029349E"/>
    <w:rsid w:val="00295A1D"/>
    <w:rsid w:val="002A219A"/>
    <w:rsid w:val="002A2720"/>
    <w:rsid w:val="002A3D64"/>
    <w:rsid w:val="002B1F52"/>
    <w:rsid w:val="002B4891"/>
    <w:rsid w:val="002B4B0F"/>
    <w:rsid w:val="002B571A"/>
    <w:rsid w:val="002C1144"/>
    <w:rsid w:val="002C184A"/>
    <w:rsid w:val="002D2679"/>
    <w:rsid w:val="002E245D"/>
    <w:rsid w:val="002E2F86"/>
    <w:rsid w:val="002F0935"/>
    <w:rsid w:val="00300452"/>
    <w:rsid w:val="00302619"/>
    <w:rsid w:val="003051F6"/>
    <w:rsid w:val="00307785"/>
    <w:rsid w:val="00312BBD"/>
    <w:rsid w:val="00320555"/>
    <w:rsid w:val="00322952"/>
    <w:rsid w:val="003239B8"/>
    <w:rsid w:val="00324013"/>
    <w:rsid w:val="00333F77"/>
    <w:rsid w:val="003343E4"/>
    <w:rsid w:val="003347A9"/>
    <w:rsid w:val="00335DEC"/>
    <w:rsid w:val="00345CCE"/>
    <w:rsid w:val="003469C8"/>
    <w:rsid w:val="003561C5"/>
    <w:rsid w:val="00365AD8"/>
    <w:rsid w:val="0037219D"/>
    <w:rsid w:val="0037397B"/>
    <w:rsid w:val="00385E35"/>
    <w:rsid w:val="00390E21"/>
    <w:rsid w:val="00394B47"/>
    <w:rsid w:val="00394BCE"/>
    <w:rsid w:val="00395F2A"/>
    <w:rsid w:val="00397E58"/>
    <w:rsid w:val="003A22C8"/>
    <w:rsid w:val="003A38A0"/>
    <w:rsid w:val="003A5DF3"/>
    <w:rsid w:val="003B1276"/>
    <w:rsid w:val="003B26F5"/>
    <w:rsid w:val="003B2AAE"/>
    <w:rsid w:val="003B44D5"/>
    <w:rsid w:val="003B79AF"/>
    <w:rsid w:val="003C2F10"/>
    <w:rsid w:val="003C3FF1"/>
    <w:rsid w:val="003D0496"/>
    <w:rsid w:val="003D164E"/>
    <w:rsid w:val="003D1ADA"/>
    <w:rsid w:val="003D3B12"/>
    <w:rsid w:val="003D3F13"/>
    <w:rsid w:val="003D5F75"/>
    <w:rsid w:val="003E0F3F"/>
    <w:rsid w:val="003E49B0"/>
    <w:rsid w:val="003E546C"/>
    <w:rsid w:val="003E6D6A"/>
    <w:rsid w:val="003E7C1C"/>
    <w:rsid w:val="003F04DE"/>
    <w:rsid w:val="003F3020"/>
    <w:rsid w:val="00404490"/>
    <w:rsid w:val="00404DE7"/>
    <w:rsid w:val="0040500C"/>
    <w:rsid w:val="00407E6E"/>
    <w:rsid w:val="0041108B"/>
    <w:rsid w:val="004204E2"/>
    <w:rsid w:val="00420BC7"/>
    <w:rsid w:val="00422706"/>
    <w:rsid w:val="00425108"/>
    <w:rsid w:val="0042515D"/>
    <w:rsid w:val="00425A92"/>
    <w:rsid w:val="00425C6D"/>
    <w:rsid w:val="004328B5"/>
    <w:rsid w:val="00432946"/>
    <w:rsid w:val="004345E1"/>
    <w:rsid w:val="0043677D"/>
    <w:rsid w:val="00436D00"/>
    <w:rsid w:val="004400FE"/>
    <w:rsid w:val="004409D2"/>
    <w:rsid w:val="00441D9A"/>
    <w:rsid w:val="004430E3"/>
    <w:rsid w:val="0044441A"/>
    <w:rsid w:val="004500DA"/>
    <w:rsid w:val="00453D1C"/>
    <w:rsid w:val="00462263"/>
    <w:rsid w:val="00467432"/>
    <w:rsid w:val="0047127B"/>
    <w:rsid w:val="00473073"/>
    <w:rsid w:val="00474360"/>
    <w:rsid w:val="00477A23"/>
    <w:rsid w:val="00477F0C"/>
    <w:rsid w:val="0048296E"/>
    <w:rsid w:val="00483B83"/>
    <w:rsid w:val="004867D4"/>
    <w:rsid w:val="004913BA"/>
    <w:rsid w:val="0049297A"/>
    <w:rsid w:val="00497B95"/>
    <w:rsid w:val="004A56A5"/>
    <w:rsid w:val="004A59C3"/>
    <w:rsid w:val="004B4C59"/>
    <w:rsid w:val="004B5DD9"/>
    <w:rsid w:val="004C1974"/>
    <w:rsid w:val="004C6828"/>
    <w:rsid w:val="004D0CEA"/>
    <w:rsid w:val="004D2426"/>
    <w:rsid w:val="004E07CF"/>
    <w:rsid w:val="004E6A4E"/>
    <w:rsid w:val="00504D98"/>
    <w:rsid w:val="005059F2"/>
    <w:rsid w:val="00507FF6"/>
    <w:rsid w:val="00511F8D"/>
    <w:rsid w:val="00512B47"/>
    <w:rsid w:val="005131CD"/>
    <w:rsid w:val="005134A2"/>
    <w:rsid w:val="005233FC"/>
    <w:rsid w:val="0052410D"/>
    <w:rsid w:val="00535FDF"/>
    <w:rsid w:val="00541038"/>
    <w:rsid w:val="00541994"/>
    <w:rsid w:val="00547388"/>
    <w:rsid w:val="0055037E"/>
    <w:rsid w:val="00551EAF"/>
    <w:rsid w:val="00557D32"/>
    <w:rsid w:val="00560817"/>
    <w:rsid w:val="0057102B"/>
    <w:rsid w:val="00574005"/>
    <w:rsid w:val="005807C0"/>
    <w:rsid w:val="00581561"/>
    <w:rsid w:val="0058280A"/>
    <w:rsid w:val="005858EA"/>
    <w:rsid w:val="00593D0E"/>
    <w:rsid w:val="00595E16"/>
    <w:rsid w:val="00596CF8"/>
    <w:rsid w:val="005A0066"/>
    <w:rsid w:val="005B351F"/>
    <w:rsid w:val="005B4595"/>
    <w:rsid w:val="005B7A75"/>
    <w:rsid w:val="005C1AF2"/>
    <w:rsid w:val="005C2018"/>
    <w:rsid w:val="005D0316"/>
    <w:rsid w:val="005D1CF2"/>
    <w:rsid w:val="005D32A5"/>
    <w:rsid w:val="005D5A4D"/>
    <w:rsid w:val="005D6A31"/>
    <w:rsid w:val="005E2305"/>
    <w:rsid w:val="005E412F"/>
    <w:rsid w:val="005E6DD6"/>
    <w:rsid w:val="005F1245"/>
    <w:rsid w:val="005F3272"/>
    <w:rsid w:val="005F63AB"/>
    <w:rsid w:val="005F7D36"/>
    <w:rsid w:val="00604A5F"/>
    <w:rsid w:val="00607EF2"/>
    <w:rsid w:val="00614AC9"/>
    <w:rsid w:val="00621013"/>
    <w:rsid w:val="00631978"/>
    <w:rsid w:val="00633331"/>
    <w:rsid w:val="0063740E"/>
    <w:rsid w:val="00646426"/>
    <w:rsid w:val="00655E7F"/>
    <w:rsid w:val="00660381"/>
    <w:rsid w:val="00664CF0"/>
    <w:rsid w:val="00675C79"/>
    <w:rsid w:val="0068222E"/>
    <w:rsid w:val="00685114"/>
    <w:rsid w:val="00685187"/>
    <w:rsid w:val="00686A0B"/>
    <w:rsid w:val="00690486"/>
    <w:rsid w:val="0069105D"/>
    <w:rsid w:val="006913E2"/>
    <w:rsid w:val="00695959"/>
    <w:rsid w:val="00697D67"/>
    <w:rsid w:val="006A2382"/>
    <w:rsid w:val="006A3AC1"/>
    <w:rsid w:val="006B087D"/>
    <w:rsid w:val="006B2E3C"/>
    <w:rsid w:val="006B541E"/>
    <w:rsid w:val="006B6C7E"/>
    <w:rsid w:val="006B705E"/>
    <w:rsid w:val="006C007A"/>
    <w:rsid w:val="006C0DAE"/>
    <w:rsid w:val="006C195E"/>
    <w:rsid w:val="006C4EDB"/>
    <w:rsid w:val="006C54B0"/>
    <w:rsid w:val="006C6AB0"/>
    <w:rsid w:val="006C6D2F"/>
    <w:rsid w:val="006C6F0B"/>
    <w:rsid w:val="006C776D"/>
    <w:rsid w:val="006C7FE4"/>
    <w:rsid w:val="006D104C"/>
    <w:rsid w:val="006D1D9E"/>
    <w:rsid w:val="006D296E"/>
    <w:rsid w:val="006D368A"/>
    <w:rsid w:val="006D6F93"/>
    <w:rsid w:val="006E382F"/>
    <w:rsid w:val="006E55D2"/>
    <w:rsid w:val="006F563D"/>
    <w:rsid w:val="00705C4D"/>
    <w:rsid w:val="007062FF"/>
    <w:rsid w:val="007108E2"/>
    <w:rsid w:val="00712970"/>
    <w:rsid w:val="00724995"/>
    <w:rsid w:val="00724F3F"/>
    <w:rsid w:val="007255CB"/>
    <w:rsid w:val="0072661A"/>
    <w:rsid w:val="00730CC1"/>
    <w:rsid w:val="00736BD0"/>
    <w:rsid w:val="0074286A"/>
    <w:rsid w:val="00742CDB"/>
    <w:rsid w:val="00742F61"/>
    <w:rsid w:val="00743610"/>
    <w:rsid w:val="00750DB5"/>
    <w:rsid w:val="0075624E"/>
    <w:rsid w:val="0075754A"/>
    <w:rsid w:val="00760007"/>
    <w:rsid w:val="00765A5E"/>
    <w:rsid w:val="00777644"/>
    <w:rsid w:val="007806B3"/>
    <w:rsid w:val="00781E52"/>
    <w:rsid w:val="007821AA"/>
    <w:rsid w:val="007857C9"/>
    <w:rsid w:val="00785B31"/>
    <w:rsid w:val="0078710F"/>
    <w:rsid w:val="007913C0"/>
    <w:rsid w:val="00791CDC"/>
    <w:rsid w:val="007A194B"/>
    <w:rsid w:val="007A26EB"/>
    <w:rsid w:val="007A3D53"/>
    <w:rsid w:val="007A59A1"/>
    <w:rsid w:val="007A5D8E"/>
    <w:rsid w:val="007B5B3E"/>
    <w:rsid w:val="007C25CE"/>
    <w:rsid w:val="007C3488"/>
    <w:rsid w:val="007D0B2A"/>
    <w:rsid w:val="007D5B40"/>
    <w:rsid w:val="007E108E"/>
    <w:rsid w:val="007E4F49"/>
    <w:rsid w:val="007E5942"/>
    <w:rsid w:val="007E6728"/>
    <w:rsid w:val="007F0B03"/>
    <w:rsid w:val="007F2486"/>
    <w:rsid w:val="007F2E04"/>
    <w:rsid w:val="007F6552"/>
    <w:rsid w:val="008037AC"/>
    <w:rsid w:val="008050F9"/>
    <w:rsid w:val="00810DDF"/>
    <w:rsid w:val="0081458F"/>
    <w:rsid w:val="0081468B"/>
    <w:rsid w:val="00814E94"/>
    <w:rsid w:val="008279D5"/>
    <w:rsid w:val="00830E1C"/>
    <w:rsid w:val="00835285"/>
    <w:rsid w:val="00837078"/>
    <w:rsid w:val="00853ED4"/>
    <w:rsid w:val="00856675"/>
    <w:rsid w:val="008663C5"/>
    <w:rsid w:val="00870116"/>
    <w:rsid w:val="0087102D"/>
    <w:rsid w:val="008719C8"/>
    <w:rsid w:val="00872E51"/>
    <w:rsid w:val="0087374E"/>
    <w:rsid w:val="00873AB6"/>
    <w:rsid w:val="0087563F"/>
    <w:rsid w:val="0087722B"/>
    <w:rsid w:val="0087791B"/>
    <w:rsid w:val="00877B76"/>
    <w:rsid w:val="00880069"/>
    <w:rsid w:val="0088147A"/>
    <w:rsid w:val="00881B0D"/>
    <w:rsid w:val="00886E4E"/>
    <w:rsid w:val="008874FC"/>
    <w:rsid w:val="00893764"/>
    <w:rsid w:val="00895A7C"/>
    <w:rsid w:val="008A234C"/>
    <w:rsid w:val="008A57D2"/>
    <w:rsid w:val="008B045D"/>
    <w:rsid w:val="008B5540"/>
    <w:rsid w:val="008D2838"/>
    <w:rsid w:val="008D2BBC"/>
    <w:rsid w:val="008D71E5"/>
    <w:rsid w:val="008E28BE"/>
    <w:rsid w:val="008E2ECA"/>
    <w:rsid w:val="008E4C77"/>
    <w:rsid w:val="008E4E89"/>
    <w:rsid w:val="00906E89"/>
    <w:rsid w:val="00910558"/>
    <w:rsid w:val="009148CA"/>
    <w:rsid w:val="0091656A"/>
    <w:rsid w:val="00916C74"/>
    <w:rsid w:val="00916ED8"/>
    <w:rsid w:val="009171CB"/>
    <w:rsid w:val="00922B19"/>
    <w:rsid w:val="00924A17"/>
    <w:rsid w:val="00926C07"/>
    <w:rsid w:val="009325EF"/>
    <w:rsid w:val="00932CBC"/>
    <w:rsid w:val="00933F00"/>
    <w:rsid w:val="00947458"/>
    <w:rsid w:val="00954A41"/>
    <w:rsid w:val="0096193E"/>
    <w:rsid w:val="00963866"/>
    <w:rsid w:val="0096387E"/>
    <w:rsid w:val="00963D2D"/>
    <w:rsid w:val="00967CED"/>
    <w:rsid w:val="0097040C"/>
    <w:rsid w:val="00973334"/>
    <w:rsid w:val="009742F1"/>
    <w:rsid w:val="0097433B"/>
    <w:rsid w:val="0097467F"/>
    <w:rsid w:val="0097749E"/>
    <w:rsid w:val="00982469"/>
    <w:rsid w:val="00983FA6"/>
    <w:rsid w:val="00985022"/>
    <w:rsid w:val="00987559"/>
    <w:rsid w:val="00987975"/>
    <w:rsid w:val="00990BEE"/>
    <w:rsid w:val="00995EFD"/>
    <w:rsid w:val="009A4319"/>
    <w:rsid w:val="009A4A7C"/>
    <w:rsid w:val="009B233F"/>
    <w:rsid w:val="009B296C"/>
    <w:rsid w:val="009B5153"/>
    <w:rsid w:val="009B7EDF"/>
    <w:rsid w:val="009C32BF"/>
    <w:rsid w:val="009C3B7F"/>
    <w:rsid w:val="009D6CD3"/>
    <w:rsid w:val="009D7D5F"/>
    <w:rsid w:val="009E1225"/>
    <w:rsid w:val="009E12EF"/>
    <w:rsid w:val="009E20C4"/>
    <w:rsid w:val="009E4C83"/>
    <w:rsid w:val="009E7C21"/>
    <w:rsid w:val="009F0256"/>
    <w:rsid w:val="009F4B27"/>
    <w:rsid w:val="009F5DEF"/>
    <w:rsid w:val="009F69EC"/>
    <w:rsid w:val="00A01208"/>
    <w:rsid w:val="00A01954"/>
    <w:rsid w:val="00A02D19"/>
    <w:rsid w:val="00A12193"/>
    <w:rsid w:val="00A15579"/>
    <w:rsid w:val="00A20A4D"/>
    <w:rsid w:val="00A21917"/>
    <w:rsid w:val="00A258C4"/>
    <w:rsid w:val="00A26315"/>
    <w:rsid w:val="00A266CE"/>
    <w:rsid w:val="00A31A70"/>
    <w:rsid w:val="00A34ABC"/>
    <w:rsid w:val="00A4035A"/>
    <w:rsid w:val="00A45160"/>
    <w:rsid w:val="00A52632"/>
    <w:rsid w:val="00A531C0"/>
    <w:rsid w:val="00A564FA"/>
    <w:rsid w:val="00A56B8A"/>
    <w:rsid w:val="00A56FAD"/>
    <w:rsid w:val="00A57B5B"/>
    <w:rsid w:val="00A61E87"/>
    <w:rsid w:val="00A674A4"/>
    <w:rsid w:val="00A67FBA"/>
    <w:rsid w:val="00A74A79"/>
    <w:rsid w:val="00A81D08"/>
    <w:rsid w:val="00A821E5"/>
    <w:rsid w:val="00A84505"/>
    <w:rsid w:val="00A84B29"/>
    <w:rsid w:val="00A8672C"/>
    <w:rsid w:val="00A91571"/>
    <w:rsid w:val="00A947D4"/>
    <w:rsid w:val="00A9686C"/>
    <w:rsid w:val="00AA1B85"/>
    <w:rsid w:val="00AA7E45"/>
    <w:rsid w:val="00AC0BEB"/>
    <w:rsid w:val="00AC1CDC"/>
    <w:rsid w:val="00AC5D84"/>
    <w:rsid w:val="00AC7079"/>
    <w:rsid w:val="00AD6AA0"/>
    <w:rsid w:val="00AE4466"/>
    <w:rsid w:val="00AF285B"/>
    <w:rsid w:val="00AF4382"/>
    <w:rsid w:val="00AF5325"/>
    <w:rsid w:val="00AF5CCF"/>
    <w:rsid w:val="00AF78BC"/>
    <w:rsid w:val="00B0113A"/>
    <w:rsid w:val="00B0113F"/>
    <w:rsid w:val="00B016A2"/>
    <w:rsid w:val="00B02CE4"/>
    <w:rsid w:val="00B06720"/>
    <w:rsid w:val="00B156F1"/>
    <w:rsid w:val="00B15E4E"/>
    <w:rsid w:val="00B15F73"/>
    <w:rsid w:val="00B24B3D"/>
    <w:rsid w:val="00B25E9E"/>
    <w:rsid w:val="00B31AB1"/>
    <w:rsid w:val="00B34A10"/>
    <w:rsid w:val="00B379DE"/>
    <w:rsid w:val="00B4420F"/>
    <w:rsid w:val="00B4623D"/>
    <w:rsid w:val="00B532C4"/>
    <w:rsid w:val="00B5661B"/>
    <w:rsid w:val="00B62513"/>
    <w:rsid w:val="00B62CB6"/>
    <w:rsid w:val="00B63031"/>
    <w:rsid w:val="00B65E6B"/>
    <w:rsid w:val="00B7124F"/>
    <w:rsid w:val="00B74791"/>
    <w:rsid w:val="00B76045"/>
    <w:rsid w:val="00B8273B"/>
    <w:rsid w:val="00B82897"/>
    <w:rsid w:val="00B87569"/>
    <w:rsid w:val="00B92C6B"/>
    <w:rsid w:val="00B92DC8"/>
    <w:rsid w:val="00B9402F"/>
    <w:rsid w:val="00BA10D8"/>
    <w:rsid w:val="00BA77AE"/>
    <w:rsid w:val="00BB59F0"/>
    <w:rsid w:val="00BC1FC3"/>
    <w:rsid w:val="00BC3D01"/>
    <w:rsid w:val="00BC42DC"/>
    <w:rsid w:val="00BC570D"/>
    <w:rsid w:val="00BC5E95"/>
    <w:rsid w:val="00BC6DAC"/>
    <w:rsid w:val="00BD10B0"/>
    <w:rsid w:val="00BD1721"/>
    <w:rsid w:val="00BD55BD"/>
    <w:rsid w:val="00BD6097"/>
    <w:rsid w:val="00BF068C"/>
    <w:rsid w:val="00BF1D08"/>
    <w:rsid w:val="00C0364F"/>
    <w:rsid w:val="00C05890"/>
    <w:rsid w:val="00C111F2"/>
    <w:rsid w:val="00C11568"/>
    <w:rsid w:val="00C16634"/>
    <w:rsid w:val="00C21DC2"/>
    <w:rsid w:val="00C27006"/>
    <w:rsid w:val="00C3075A"/>
    <w:rsid w:val="00C30D45"/>
    <w:rsid w:val="00C3182B"/>
    <w:rsid w:val="00C373F0"/>
    <w:rsid w:val="00C4448C"/>
    <w:rsid w:val="00C455F1"/>
    <w:rsid w:val="00C45B99"/>
    <w:rsid w:val="00C50ADD"/>
    <w:rsid w:val="00C511AF"/>
    <w:rsid w:val="00C57767"/>
    <w:rsid w:val="00C57C78"/>
    <w:rsid w:val="00C57FE1"/>
    <w:rsid w:val="00C6141E"/>
    <w:rsid w:val="00C625C6"/>
    <w:rsid w:val="00C64DEB"/>
    <w:rsid w:val="00C6691F"/>
    <w:rsid w:val="00C66EC3"/>
    <w:rsid w:val="00C73A1F"/>
    <w:rsid w:val="00C7593E"/>
    <w:rsid w:val="00C767B0"/>
    <w:rsid w:val="00C95D96"/>
    <w:rsid w:val="00CA70D3"/>
    <w:rsid w:val="00CB4003"/>
    <w:rsid w:val="00CB6EE6"/>
    <w:rsid w:val="00CB7071"/>
    <w:rsid w:val="00CC023A"/>
    <w:rsid w:val="00CC23D5"/>
    <w:rsid w:val="00CC405B"/>
    <w:rsid w:val="00CC54F4"/>
    <w:rsid w:val="00CD083C"/>
    <w:rsid w:val="00CD44E2"/>
    <w:rsid w:val="00CD6C5F"/>
    <w:rsid w:val="00CE01CF"/>
    <w:rsid w:val="00CE1DE9"/>
    <w:rsid w:val="00CF04D7"/>
    <w:rsid w:val="00CF696E"/>
    <w:rsid w:val="00CF6EC3"/>
    <w:rsid w:val="00D0333C"/>
    <w:rsid w:val="00D039B6"/>
    <w:rsid w:val="00D06BDD"/>
    <w:rsid w:val="00D23C38"/>
    <w:rsid w:val="00D2584A"/>
    <w:rsid w:val="00D26E2B"/>
    <w:rsid w:val="00D309D1"/>
    <w:rsid w:val="00D32E3A"/>
    <w:rsid w:val="00D34B49"/>
    <w:rsid w:val="00D472DF"/>
    <w:rsid w:val="00D53DD1"/>
    <w:rsid w:val="00D57A9B"/>
    <w:rsid w:val="00D60AE5"/>
    <w:rsid w:val="00D61281"/>
    <w:rsid w:val="00D81091"/>
    <w:rsid w:val="00D82511"/>
    <w:rsid w:val="00D82CEB"/>
    <w:rsid w:val="00D835CA"/>
    <w:rsid w:val="00D91A74"/>
    <w:rsid w:val="00D92AFD"/>
    <w:rsid w:val="00D9332F"/>
    <w:rsid w:val="00D93338"/>
    <w:rsid w:val="00D94514"/>
    <w:rsid w:val="00D950A4"/>
    <w:rsid w:val="00D954FC"/>
    <w:rsid w:val="00D958D2"/>
    <w:rsid w:val="00D9612F"/>
    <w:rsid w:val="00DA12BF"/>
    <w:rsid w:val="00DA2460"/>
    <w:rsid w:val="00DA31A0"/>
    <w:rsid w:val="00DB0316"/>
    <w:rsid w:val="00DB0484"/>
    <w:rsid w:val="00DB0AA4"/>
    <w:rsid w:val="00DB17A3"/>
    <w:rsid w:val="00DB3778"/>
    <w:rsid w:val="00DB4663"/>
    <w:rsid w:val="00DC1E74"/>
    <w:rsid w:val="00DC2954"/>
    <w:rsid w:val="00DC6DFE"/>
    <w:rsid w:val="00DC7FDB"/>
    <w:rsid w:val="00DD0181"/>
    <w:rsid w:val="00DD74FD"/>
    <w:rsid w:val="00DE38A1"/>
    <w:rsid w:val="00DF736E"/>
    <w:rsid w:val="00E02381"/>
    <w:rsid w:val="00E03004"/>
    <w:rsid w:val="00E0472C"/>
    <w:rsid w:val="00E154D9"/>
    <w:rsid w:val="00E270E2"/>
    <w:rsid w:val="00E275AA"/>
    <w:rsid w:val="00E32AEB"/>
    <w:rsid w:val="00E406EF"/>
    <w:rsid w:val="00E41602"/>
    <w:rsid w:val="00E43078"/>
    <w:rsid w:val="00E4307C"/>
    <w:rsid w:val="00E46D61"/>
    <w:rsid w:val="00E474A6"/>
    <w:rsid w:val="00E51682"/>
    <w:rsid w:val="00E56F1C"/>
    <w:rsid w:val="00E57E71"/>
    <w:rsid w:val="00E66065"/>
    <w:rsid w:val="00E66979"/>
    <w:rsid w:val="00E711BA"/>
    <w:rsid w:val="00E80D79"/>
    <w:rsid w:val="00E84C8D"/>
    <w:rsid w:val="00E863BB"/>
    <w:rsid w:val="00E94D5B"/>
    <w:rsid w:val="00E95F62"/>
    <w:rsid w:val="00EA13E7"/>
    <w:rsid w:val="00EA1FED"/>
    <w:rsid w:val="00EA27A7"/>
    <w:rsid w:val="00EA4423"/>
    <w:rsid w:val="00EB1148"/>
    <w:rsid w:val="00EB7B76"/>
    <w:rsid w:val="00EB7D32"/>
    <w:rsid w:val="00EC3730"/>
    <w:rsid w:val="00EC4172"/>
    <w:rsid w:val="00EC47AA"/>
    <w:rsid w:val="00ED35E7"/>
    <w:rsid w:val="00EE1D1A"/>
    <w:rsid w:val="00EE3AFC"/>
    <w:rsid w:val="00EF7F3C"/>
    <w:rsid w:val="00F002EB"/>
    <w:rsid w:val="00F020C9"/>
    <w:rsid w:val="00F02F4C"/>
    <w:rsid w:val="00F033BE"/>
    <w:rsid w:val="00F055A9"/>
    <w:rsid w:val="00F14A5E"/>
    <w:rsid w:val="00F20641"/>
    <w:rsid w:val="00F21161"/>
    <w:rsid w:val="00F2124F"/>
    <w:rsid w:val="00F215A9"/>
    <w:rsid w:val="00F303BC"/>
    <w:rsid w:val="00F34A9C"/>
    <w:rsid w:val="00F35F3B"/>
    <w:rsid w:val="00F405F2"/>
    <w:rsid w:val="00F4095C"/>
    <w:rsid w:val="00F43EFC"/>
    <w:rsid w:val="00F56DBE"/>
    <w:rsid w:val="00F64C80"/>
    <w:rsid w:val="00F700A6"/>
    <w:rsid w:val="00F76CED"/>
    <w:rsid w:val="00F7708E"/>
    <w:rsid w:val="00F800D8"/>
    <w:rsid w:val="00F82A69"/>
    <w:rsid w:val="00F93927"/>
    <w:rsid w:val="00F95986"/>
    <w:rsid w:val="00F96B60"/>
    <w:rsid w:val="00F972B3"/>
    <w:rsid w:val="00FA11D7"/>
    <w:rsid w:val="00FA2F18"/>
    <w:rsid w:val="00FB7E6A"/>
    <w:rsid w:val="00FC0474"/>
    <w:rsid w:val="00FC2DEE"/>
    <w:rsid w:val="00FD6817"/>
    <w:rsid w:val="00FE028C"/>
    <w:rsid w:val="00FE0DFC"/>
    <w:rsid w:val="00FE432E"/>
    <w:rsid w:val="00FE4CD5"/>
    <w:rsid w:val="00FF0B9C"/>
    <w:rsid w:val="00FF18AA"/>
    <w:rsid w:val="00FF2B1E"/>
    <w:rsid w:val="00FF769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334"/>
    <w:rPr>
      <w:sz w:val="24"/>
      <w:szCs w:val="24"/>
    </w:rPr>
  </w:style>
  <w:style w:type="paragraph" w:styleId="Heading1">
    <w:name w:val="heading 1"/>
    <w:basedOn w:val="Normal"/>
    <w:next w:val="Normal"/>
    <w:qFormat/>
    <w:rsid w:val="00217334"/>
    <w:pPr>
      <w:keepNext/>
      <w:spacing w:line="480" w:lineRule="auto"/>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217334"/>
    <w:pPr>
      <w:spacing w:before="28"/>
      <w:ind w:right="90"/>
    </w:pPr>
    <w:rPr>
      <w:sz w:val="19"/>
      <w:szCs w:val="19"/>
    </w:rPr>
  </w:style>
  <w:style w:type="paragraph" w:styleId="Header">
    <w:name w:val="header"/>
    <w:basedOn w:val="Normal"/>
    <w:link w:val="HeaderChar"/>
    <w:semiHidden/>
    <w:rsid w:val="00217334"/>
    <w:pPr>
      <w:tabs>
        <w:tab w:val="center" w:pos="4320"/>
        <w:tab w:val="right" w:pos="8640"/>
      </w:tabs>
    </w:pPr>
  </w:style>
  <w:style w:type="paragraph" w:styleId="Footer">
    <w:name w:val="footer"/>
    <w:basedOn w:val="Normal"/>
    <w:semiHidden/>
    <w:rsid w:val="00217334"/>
    <w:pPr>
      <w:tabs>
        <w:tab w:val="center" w:pos="4320"/>
        <w:tab w:val="right" w:pos="8640"/>
      </w:tabs>
    </w:pPr>
  </w:style>
  <w:style w:type="character" w:styleId="PageNumber">
    <w:name w:val="page number"/>
    <w:basedOn w:val="DefaultParagraphFont"/>
    <w:semiHidden/>
    <w:rsid w:val="00217334"/>
  </w:style>
  <w:style w:type="paragraph" w:styleId="FootnoteText">
    <w:name w:val="footnote text"/>
    <w:basedOn w:val="Normal"/>
    <w:link w:val="FootnoteTextChar"/>
    <w:uiPriority w:val="99"/>
    <w:semiHidden/>
    <w:rsid w:val="00217334"/>
    <w:pPr>
      <w:ind w:firstLine="720"/>
    </w:pPr>
    <w:rPr>
      <w:szCs w:val="20"/>
    </w:rPr>
  </w:style>
  <w:style w:type="character" w:styleId="FootnoteReference">
    <w:name w:val="footnote reference"/>
    <w:basedOn w:val="DefaultParagraphFont"/>
    <w:uiPriority w:val="99"/>
    <w:rsid w:val="00217334"/>
    <w:rPr>
      <w:vertAlign w:val="superscript"/>
    </w:rPr>
  </w:style>
  <w:style w:type="paragraph" w:styleId="BalloonText">
    <w:name w:val="Balloon Text"/>
    <w:basedOn w:val="Normal"/>
    <w:link w:val="BalloonTextChar"/>
    <w:uiPriority w:val="99"/>
    <w:semiHidden/>
    <w:unhideWhenUsed/>
    <w:rsid w:val="00CE1DE9"/>
    <w:rPr>
      <w:rFonts w:ascii="Tahoma" w:hAnsi="Tahoma" w:cs="Tahoma"/>
      <w:sz w:val="16"/>
      <w:szCs w:val="16"/>
    </w:rPr>
  </w:style>
  <w:style w:type="character" w:customStyle="1" w:styleId="BalloonTextChar">
    <w:name w:val="Balloon Text Char"/>
    <w:basedOn w:val="DefaultParagraphFont"/>
    <w:link w:val="BalloonText"/>
    <w:uiPriority w:val="99"/>
    <w:semiHidden/>
    <w:rsid w:val="00CE1DE9"/>
    <w:rPr>
      <w:rFonts w:ascii="Tahoma" w:hAnsi="Tahoma" w:cs="Tahoma"/>
      <w:sz w:val="16"/>
      <w:szCs w:val="16"/>
    </w:rPr>
  </w:style>
  <w:style w:type="character" w:customStyle="1" w:styleId="FootnoteTextChar">
    <w:name w:val="Footnote Text Char"/>
    <w:basedOn w:val="DefaultParagraphFont"/>
    <w:link w:val="FootnoteText"/>
    <w:uiPriority w:val="99"/>
    <w:semiHidden/>
    <w:rsid w:val="002A219A"/>
    <w:rPr>
      <w:sz w:val="24"/>
    </w:rPr>
  </w:style>
  <w:style w:type="character" w:customStyle="1" w:styleId="HeaderChar">
    <w:name w:val="Header Char"/>
    <w:basedOn w:val="DefaultParagraphFont"/>
    <w:link w:val="Header"/>
    <w:semiHidden/>
    <w:locked/>
    <w:rsid w:val="009B233F"/>
    <w:rPr>
      <w:sz w:val="24"/>
      <w:szCs w:val="24"/>
    </w:rPr>
  </w:style>
  <w:style w:type="paragraph" w:styleId="PlainText">
    <w:name w:val="Plain Text"/>
    <w:basedOn w:val="Normal"/>
    <w:link w:val="PlainTextChar"/>
    <w:uiPriority w:val="99"/>
    <w:unhideWhenUsed/>
    <w:rsid w:val="00A4035A"/>
    <w:rPr>
      <w:rFonts w:ascii="Consolas" w:eastAsia="Calibri" w:hAnsi="Consolas"/>
      <w:sz w:val="21"/>
      <w:szCs w:val="21"/>
    </w:rPr>
  </w:style>
  <w:style w:type="character" w:customStyle="1" w:styleId="PlainTextChar">
    <w:name w:val="Plain Text Char"/>
    <w:basedOn w:val="DefaultParagraphFont"/>
    <w:link w:val="PlainText"/>
    <w:uiPriority w:val="99"/>
    <w:rsid w:val="00A4035A"/>
    <w:rPr>
      <w:rFonts w:ascii="Consolas" w:eastAsia="Calibri" w:hAnsi="Consolas"/>
      <w:sz w:val="21"/>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D9D99-4C37-43C5-AA08-B4BD588BD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1962</Words>
  <Characters>10421</Characters>
  <Application>Microsoft Office Word</Application>
  <DocSecurity>0</DocSecurity>
  <Lines>86</Lines>
  <Paragraphs>24</Paragraphs>
  <ScaleCrop>false</ScaleCrop>
  <Company/>
  <LinksUpToDate>false</LinksUpToDate>
  <CharactersWithSpaces>12359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2011-03-25T22:15:00Z</dcterms:created>
  <dcterms:modified xsi:type="dcterms:W3CDTF">2011-03-25T22:15:00Z</dcterms:modified>
</cp:coreProperties>
</file>