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JANUARY 31, 2014</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DANIEL LARS PEARSON,</w:t>
            </w:r>
          </w:p>
          <w:p>
            <w:pPr>
              <w:rPr>
                <w:b/>
                <w:bCs/>
              </w:rPr>
            </w:pPr>
          </w:p>
          <w:p>
            <w:pPr>
              <w:rPr>
                <w:b/>
                <w:bCs/>
              </w:rPr>
            </w:pPr>
            <w:r>
              <w:rPr>
                <w:b/>
                <w:bCs/>
              </w:rPr>
              <w:t>Member No.  157206,</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12-O-15835-RAP</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pPr>
      <w:r>
        <w:rPr>
          <w:b/>
        </w:rPr>
        <w:tab/>
      </w:r>
      <w:r>
        <w:t>Respondent Daniel Lars Pearson (respondent) was charged with three counts of misconduct stemming from one client matter.  He failed to participate either in person or through counsel, and his default was entered.  The Office of the Chief Trial Counsel (State Bar) filed a petition for disbarment under rule 5.85 of the Rules of Procedure of the State Bar.</w:t>
      </w:r>
      <w:r>
        <w:rPr>
          <w:rStyle w:val="FootnoteReference"/>
        </w:rPr>
        <w:footnoteReference w:id="1"/>
      </w:r>
      <w:r>
        <w:t xml:space="preserve">  </w:t>
      </w:r>
    </w:p>
    <w:p>
      <w:pPr>
        <w:spacing w:line="480" w:lineRule="auto"/>
        <w:rPr>
          <w:b/>
        </w:rPr>
      </w:pPr>
      <w:r>
        <w:tab/>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r>
        <w:rPr>
          <w:b/>
        </w:rPr>
        <w:t xml:space="preserve">    </w:t>
      </w:r>
    </w:p>
    <w:p>
      <w:pPr>
        <w:spacing w:line="480" w:lineRule="auto"/>
      </w:pPr>
      <w:r>
        <w:rPr>
          <w:b/>
        </w:rPr>
        <w:lastRenderedPageBreak/>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tab/>
        <w:t>Respondent was admitted to practice law in this state on December 18, 1991, and has been a member since then.</w:t>
      </w:r>
    </w:p>
    <w:p>
      <w:pPr>
        <w:spacing w:line="480" w:lineRule="auto"/>
        <w:rPr>
          <w:b/>
        </w:rPr>
      </w:pPr>
      <w:r>
        <w:rPr>
          <w:b/>
        </w:rPr>
        <w:t>Procedural Requirements Have Been Satisfied</w:t>
      </w:r>
    </w:p>
    <w:p>
      <w:pPr>
        <w:spacing w:line="480" w:lineRule="auto"/>
      </w:pPr>
      <w:r>
        <w:rPr>
          <w:b/>
        </w:rPr>
        <w:tab/>
      </w:r>
      <w:r>
        <w:t>On January 28, 2013, the State Bar filed and properly served the NDC on respondent by certified mail, return receipt requested, at his membership records address.  The NDC notified respondent that his failure to participate in the proceeding would result in a disbarment recommendation.  (Rule 5.41.)  The return receipt was returned to the State Bar signed by “Gabriella Santilla.”</w:t>
      </w:r>
      <w:r>
        <w:rPr>
          <w:rStyle w:val="FootnoteReference"/>
        </w:rPr>
        <w:footnoteReference w:id="3"/>
      </w:r>
      <w:r>
        <w:rPr>
          <w:b/>
        </w:rPr>
        <w:t xml:space="preserve"> </w:t>
      </w:r>
      <w:r>
        <w:t xml:space="preserve">       </w:t>
      </w:r>
    </w:p>
    <w:p>
      <w:pPr>
        <w:spacing w:line="480" w:lineRule="auto"/>
      </w:pPr>
      <w:r>
        <w:rPr>
          <w:b/>
        </w:rPr>
        <w:tab/>
      </w:r>
      <w:r>
        <w:t>Thereafter, the State Bar:  (1) attempted to reach respondent twice by telephone at his official membership records telephone number; and (2) sent written correspondence and a pleading to respondent at his official membership records address, by certified mail, return receipt requested.</w:t>
      </w:r>
      <w:r>
        <w:rPr>
          <w:rStyle w:val="FootnoteReference"/>
        </w:rPr>
        <w:footnoteReference w:id="4"/>
      </w:r>
      <w:r>
        <w:t xml:space="preserve"> </w:t>
      </w:r>
    </w:p>
    <w:p>
      <w:pPr>
        <w:spacing w:line="480" w:lineRule="auto"/>
        <w:ind w:firstLine="720"/>
      </w:pPr>
      <w:r>
        <w:t xml:space="preserve">Respondent failed to file a response to the NDC.  On March 11, 2013, the State Bar filed and properly served a motion for entry of respondent’s default.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he did not timely move to </w:t>
      </w:r>
      <w:r>
        <w:lastRenderedPageBreak/>
        <w:t>set aside his default, the court would recommend his disbarment.  Respondent did not file a response to the motion, and his default was entered</w:t>
      </w:r>
      <w:r>
        <w:rPr>
          <w:b/>
        </w:rPr>
        <w:t xml:space="preserve"> </w:t>
      </w:r>
      <w:r>
        <w:t>on May 20, 2013.  The order entering the default was served on respondent at his membership records address by certified mail, return receipt requested.</w:t>
      </w:r>
      <w:r>
        <w:rPr>
          <w:rStyle w:val="FootnoteReference"/>
        </w:rPr>
        <w:footnoteReference w:id="5"/>
      </w:r>
      <w:r>
        <w:t xml:space="preserve">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spacing w:line="480" w:lineRule="auto"/>
      </w:pPr>
      <w:r>
        <w:tab/>
        <w:t xml:space="preserve">Respondent also did not seek to have his default set aside or vacated.  (Rule 5.83(C)(1) [attorney has 180 days to file motion to set aside default].)  On November 25, 2013, the State Bar filed and  properly served the petition for disbarment.  As required by rule 5.85(A), the State Bar reported in the petition that:  (1) respondent has not contacted the State Bar since March 28, 2013, before his default was entered was entered on May 20, 2013; (2) there are three investigation matters and one disciplinary matter pending against respondent; (3) respondent has no record of prior discipline; and (4) the Client Security Fund (CSF) has not made any payments resulting from respondent’s conduct.  Respondent did not respond to the petition for disbarment or move to set aside or vacate the default.  The case was submitted for decision on January 14, 2014.   </w:t>
      </w:r>
    </w:p>
    <w:p>
      <w:pPr>
        <w:spacing w:line="480" w:lineRule="auto"/>
        <w:rPr>
          <w:b/>
        </w:rPr>
      </w:pPr>
      <w:r>
        <w:rPr>
          <w:b/>
        </w:rPr>
        <w:tab/>
        <w:t>The Admitted Factual Allegations Warrant the Imposition of Discipline</w:t>
      </w:r>
    </w:p>
    <w:p>
      <w:pPr>
        <w:spacing w:line="480" w:lineRule="auto"/>
      </w:pPr>
      <w:r>
        <w:rPr>
          <w:b/>
        </w:rPr>
        <w:tab/>
      </w: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ind w:firstLine="720"/>
        <w:contextualSpacing/>
        <w:rPr>
          <w:b/>
        </w:rPr>
      </w:pPr>
      <w:r>
        <w:rPr>
          <w:b/>
        </w:rPr>
        <w:t>Case Number 12-O-15835</w:t>
      </w:r>
    </w:p>
    <w:p>
      <w:pPr>
        <w:spacing w:line="480" w:lineRule="auto"/>
      </w:pPr>
      <w:r>
        <w:rPr>
          <w:b/>
        </w:rPr>
        <w:tab/>
      </w:r>
      <w:r>
        <w:t xml:space="preserve">Count One – Respondent willfully violated rule 4-100(A) of the Rules of Professional Conduct (failure to maintain client funds in trust account), by failing to maintain entrusted client funds in his client trust account on several dates over a several year period.  </w:t>
      </w:r>
    </w:p>
    <w:p>
      <w:pPr>
        <w:spacing w:line="480" w:lineRule="auto"/>
      </w:pPr>
      <w:r>
        <w:tab/>
        <w:t>Count Two - Respondent willfully violated section 6106 (moral turpitude), by misappropriating at least $243,592.68</w:t>
      </w:r>
      <w:r>
        <w:rPr>
          <w:rStyle w:val="FootnoteReference"/>
        </w:rPr>
        <w:footnoteReference w:id="6"/>
      </w:r>
      <w:r>
        <w:t xml:space="preserve"> of client funds from his client trust account.</w:t>
      </w:r>
    </w:p>
    <w:p>
      <w:pPr>
        <w:spacing w:line="480" w:lineRule="auto"/>
      </w:pPr>
      <w:r>
        <w:tab/>
        <w:t>Count Three - Respondent willfully violated section 6068, subdivision (i) of the Business and Professions Code (failure to cooperate), by failing to provide a written response to the State Bar investigator’s letter and by not otherwise communicating with the State Bar.</w:t>
      </w:r>
    </w:p>
    <w:p>
      <w:pPr>
        <w:spacing w:line="480" w:lineRule="auto"/>
        <w:rPr>
          <w:b/>
        </w:rPr>
      </w:pPr>
      <w:r>
        <w:rPr>
          <w:b/>
        </w:rPr>
        <w:t>Disbarment is Recommended</w:t>
      </w:r>
    </w:p>
    <w:p>
      <w:pPr>
        <w:spacing w:line="480" w:lineRule="auto"/>
      </w:pPr>
      <w:r>
        <w:tab/>
        <w:t>Based on the above, the court concludes that the requirements of rule 5.85(E) have been satisfied, and respondent’s disbarment is recommended.  In particular:</w:t>
      </w:r>
    </w:p>
    <w:p>
      <w:pPr>
        <w:spacing w:line="480" w:lineRule="auto"/>
      </w:pPr>
      <w:r>
        <w:tab/>
        <w:t xml:space="preserve">(1) the NDC was properly served on respondent under rule 5.25; </w:t>
      </w:r>
    </w:p>
    <w:p>
      <w:pPr>
        <w:spacing w:line="480" w:lineRule="auto"/>
      </w:pPr>
      <w:r>
        <w:tab/>
        <w:t xml:space="preserve">(2) reasonable diligence was used to notify respondent of the proceedings prior to the entry of his default, as the State Bar (1) filed and properly served the NDC on respondent; </w:t>
      </w:r>
    </w:p>
    <w:p>
      <w:pPr>
        <w:spacing w:line="480" w:lineRule="auto"/>
      </w:pPr>
      <w:r>
        <w:t>(2) attempted to contact respondent by telephone on two occasions at his membership records telephone number; and (3) sent written correspondence and a pleading to respondent at his membership records address by certified mail, return receipt requested;</w:t>
      </w:r>
      <w:r>
        <w:rPr>
          <w:rStyle w:val="FootnoteReference"/>
        </w:rPr>
        <w:footnoteReference w:id="7"/>
      </w:r>
    </w:p>
    <w:p>
      <w:pPr>
        <w:spacing w:line="480" w:lineRule="auto"/>
      </w:pPr>
      <w:r>
        <w:t xml:space="preserve">            (3) the default was properly entered under rule 5.80; and</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rPr>
          <w:b/>
        </w:rPr>
      </w:pPr>
      <w:r>
        <w:tab/>
        <w:t xml:space="preserve">Despite adequate notice and opportunity, respondent failed to participate in this disciplinary proceeding.  As set forth in the Rules of Procedure of the State Bar, the court recommends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tab/>
        <w:t>The court recommends that respondent Daniel Lars Pearson be disbarred from the practice of law in the State of California and that his name be stricken from the roll of attorneys.</w:t>
      </w:r>
    </w:p>
    <w:p>
      <w:pPr>
        <w:spacing w:line="480" w:lineRule="auto"/>
        <w:rPr>
          <w:b/>
        </w:rPr>
      </w:pPr>
      <w:r>
        <w:rPr>
          <w:b/>
        </w:rPr>
        <w:t>Restitution</w:t>
      </w:r>
    </w:p>
    <w:p>
      <w:pPr>
        <w:spacing w:line="480" w:lineRule="auto"/>
      </w:pPr>
      <w:r>
        <w:t xml:space="preserve">  </w:t>
      </w:r>
      <w:r>
        <w:tab/>
        <w:t xml:space="preserve">The court recommends that respondent be ordered to make restitution to Reliable Trust Deed Services, Inc. in the amount of $243,592.68, plus 10 percent interest per year from December 31, 2008.  </w:t>
      </w:r>
    </w:p>
    <w:p>
      <w:pPr>
        <w:spacing w:line="480" w:lineRule="auto"/>
        <w:ind w:firstLine="720"/>
      </w:pPr>
      <w:r>
        <w:t>Any restitution owed to the Client Security Fund is enforceable as provided in Business and Professions Code section 6140.5, subdivisions (c) and (d).</w:t>
      </w:r>
    </w:p>
    <w:p>
      <w:pPr>
        <w:spacing w:line="480" w:lineRule="auto"/>
        <w:rPr>
          <w:b/>
        </w:rPr>
      </w:pPr>
      <w:r>
        <w:rPr>
          <w:b/>
        </w:rPr>
        <w:t>California Rules of Court, Rule 9.20</w:t>
      </w:r>
    </w:p>
    <w:p>
      <w:pPr>
        <w:spacing w:line="480" w:lineRule="auto"/>
      </w:pPr>
      <w:r>
        <w:tab/>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pPr>
      <w:r>
        <w:t>//</w:t>
      </w:r>
    </w:p>
    <w:p>
      <w:pPr>
        <w:spacing w:line="480" w:lineRule="auto"/>
      </w:pPr>
      <w:r>
        <w:t>//</w:t>
      </w:r>
    </w:p>
    <w:p>
      <w:pPr>
        <w:spacing w:line="480" w:lineRule="auto"/>
      </w:pPr>
      <w:r>
        <w:t>//</w:t>
      </w:r>
    </w:p>
    <w:p>
      <w:pPr>
        <w:spacing w:line="480" w:lineRule="auto"/>
        <w:rPr>
          <w:b/>
        </w:rPr>
      </w:pPr>
      <w:r>
        <w:rPr>
          <w:b/>
        </w:rPr>
        <w:t>Costs</w:t>
      </w:r>
    </w:p>
    <w:p>
      <w:pPr>
        <w:spacing w:line="480" w:lineRule="auto"/>
      </w:pPr>
      <w:r>
        <w:tab/>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In accordance with Business and Professions Code section 6007, subdivision (c)(4), the court orders that Daniel Lars Pearson, State Bar number 157206, be involuntarily enrolled as an inactive member of the State Bar of California, effective three calendar days after the service of this decision and order.  (Rule 5.111(D).)</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Dated:  January 28, 2014</w:t>
            </w:r>
          </w:p>
        </w:tc>
        <w:tc>
          <w:tcPr>
            <w:tcW w:w="4565" w:type="dxa"/>
            <w:tcBorders>
              <w:top w:val="single" w:sz="4" w:space="0" w:color="auto"/>
              <w:bottom w:val="nil"/>
              <w:right w:val="nil"/>
            </w:tcBorders>
          </w:tcPr>
          <w:p>
            <w:r>
              <w:t>RICHARD A. PLATEL</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See Declaration of Rizamari C. Sitton attached to the State Bar’s motion for entry of respondent’s default.</w:t>
      </w:r>
    </w:p>
  </w:footnote>
  <w:footnote w:id="4">
    <w:p>
      <w:pPr>
        <w:pStyle w:val="FootnoteText"/>
      </w:pPr>
      <w:r>
        <w:rPr>
          <w:rStyle w:val="FootnoteReference"/>
        </w:rPr>
        <w:footnoteRef/>
      </w:r>
      <w:r>
        <w:t xml:space="preserve"> On the same day the NDC was filed, a State Bar investigator telephoned an alternate telephone number and sent a letter to an alternate address for respondent located through internet and database inquiries.</w:t>
      </w:r>
    </w:p>
  </w:footnote>
  <w:footnote w:id="5">
    <w:p>
      <w:pPr>
        <w:pStyle w:val="FootnoteText"/>
      </w:pPr>
      <w:r>
        <w:rPr>
          <w:rStyle w:val="FootnoteReference"/>
        </w:rPr>
        <w:footnoteRef/>
      </w:r>
      <w:r>
        <w:t xml:space="preserve"> The return receipt for the order entering default was returned to the State Bar Court, but the signature was not legible. </w:t>
      </w:r>
    </w:p>
  </w:footnote>
  <w:footnote w:id="6">
    <w:p>
      <w:pPr>
        <w:pStyle w:val="FootnoteText"/>
      </w:pPr>
      <w:r>
        <w:rPr>
          <w:rStyle w:val="FootnoteReference"/>
        </w:rPr>
        <w:footnoteRef/>
      </w:r>
      <w:r>
        <w:t xml:space="preserve"> The NDC alleges this figure as $243,592.67, but a review of the factual allegations and after calculating the amounts set forth in the NDC, the correct figure is $243,592.68.</w:t>
      </w:r>
    </w:p>
  </w:footnote>
  <w:footnote w:id="7">
    <w:p>
      <w:pPr>
        <w:pStyle w:val="FootnoteText"/>
      </w:pPr>
      <w:r>
        <w:rPr>
          <w:rStyle w:val="FootnoteReference"/>
        </w:rPr>
        <w:footnoteRef/>
      </w:r>
      <w:r>
        <w:t xml:space="preserve"> On the same day the NDC was filed, the State Bar telephoned an alternate telephone number and sent a letter to an alternate address for respondent.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forms" w:enforcement="1" w:cryptProviderType="rsaFull" w:cryptAlgorithmClass="hash" w:cryptAlgorithmType="typeAny" w:cryptAlgorithmSid="4" w:cryptSpinCount="100000" w:hash="1mwcXp2bXmwiaMb6cs3a+npUFK0=" w:salt="RADY0PEBYQZbMwqjhqpoWQ=="/>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5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1286</Words>
  <Characters>6833</Characters>
  <Application>Microsoft Office Word</Application>
  <DocSecurity>0</DocSecurity>
  <Lines>148</Lines>
  <Paragraphs>70</Paragraphs>
  <ScaleCrop>false</ScaleCrop>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2014-02-07T00:30:00Z</dcterms:created>
  <dcterms:modified xsi:type="dcterms:W3CDTF">2014-02-07T00:30:00Z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