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JANUARY 7, 2015</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CHRIS M. RUSCH,</w:t>
            </w:r>
          </w:p>
          <w:p>
            <w:pPr>
              <w:rPr>
                <w:b/>
                <w:bCs/>
              </w:rPr>
            </w:pPr>
          </w:p>
          <w:p>
            <w:pPr>
              <w:rPr>
                <w:b/>
                <w:bCs/>
              </w:rPr>
            </w:pPr>
            <w:r>
              <w:rPr>
                <w:b/>
                <w:bCs/>
              </w:rPr>
              <w:t>Member No.  210913,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13-N-15294-DFM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Chris M. Rusch (Respondent) was charged with failing to comply with an order requiring him to file a declaration of compliance with California Rules of Court, rule 9.20, with the clerk of the State Bar Court by July 31, 2013, as required by the Review Department of the State Bar Court.</w:t>
      </w:r>
      <w:r>
        <w:rPr>
          <w:rStyle w:val="FootnoteReference"/>
        </w:rPr>
        <w:footnoteReference w:id="1"/>
      </w:r>
      <w:r>
        <w:t xml:space="preserve">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2"/>
      </w:r>
    </w:p>
    <w:p>
      <w:pPr>
        <w:spacing w:line="480" w:lineRule="auto"/>
      </w:pPr>
      <w:r>
        <w:rPr>
          <w:b/>
        </w:rPr>
        <w:tab/>
      </w:r>
      <w:r>
        <w:t xml:space="preserve">Rule 5.85 provides the procedure to follow when an attorney fails to participate in a disciplinary proceeding after receiving adequate notice and opportunity.  The rule provides that, </w:t>
      </w:r>
      <w:r>
        <w:lastRenderedPageBreak/>
        <w:t>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rPr>
          <w:b/>
        </w:rPr>
        <w:tab/>
      </w:r>
      <w:r>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pPr>
      <w:r>
        <w:rPr>
          <w:b/>
        </w:rPr>
        <w:tab/>
      </w:r>
      <w:r>
        <w:t xml:space="preserve">On October 16, 2013, the State Bar filed and properly served on Respondent by certified mail, return receipt requested, the NDC in this matter.  The NDC notified Respondent that his failure to participate in the proceeding would result in a disbarment recommendation.  (Rule 5.41.)  The State Bar received a signed return card on October 22, 2013, but the signature was illegible.       </w:t>
      </w:r>
    </w:p>
    <w:p>
      <w:pPr>
        <w:spacing w:line="480" w:lineRule="auto"/>
        <w:rPr>
          <w:b/>
        </w:rPr>
      </w:pPr>
      <w:r>
        <w:rPr>
          <w:b/>
        </w:rPr>
        <w:tab/>
      </w:r>
      <w:r>
        <w:t>Thereafter, the State Bar (1) attempted to reach Respondent by telephone at his membership records telephone number; (2) called directory assistance for the area which includes Respondent’s membership records address; and (3) checked Parker’s directory.</w:t>
      </w:r>
      <w:r>
        <w:rPr>
          <w:b/>
        </w:rPr>
        <w:t xml:space="preserve"> </w:t>
      </w:r>
    </w:p>
    <w:p>
      <w:pPr>
        <w:spacing w:line="480" w:lineRule="auto"/>
      </w:pPr>
      <w:r>
        <w:rPr>
          <w:b/>
        </w:rPr>
        <w:tab/>
      </w:r>
      <w:r>
        <w:t xml:space="preserve">Respondent failed to file a response to the NDC.  On December 17, 2013, the State Bar filed and served a motion for entry of default on Respondent by certified mail, return receipt requested, to his membership records address.  The motion complied with all the requirements for a default, including a supporting declaration of reasonable diligence by the State Bar trial counsel declaring the additional steps taken to provide notice to Respondent.  (Rule 5.80.)  The motion also notified Respondent that, if he did not timely move to set aside his default, the court </w:t>
      </w:r>
      <w:r>
        <w:lastRenderedPageBreak/>
        <w:t>would recommend his disbarment.  Respondent did not file a response to the motion,</w:t>
      </w:r>
      <w:r>
        <w:rPr>
          <w:rStyle w:val="FootnoteReference"/>
        </w:rPr>
        <w:footnoteReference w:id="4"/>
      </w:r>
      <w:r>
        <w:t xml:space="preserve"> and his default was entered on January 7, 2014.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He has remained inactively enrolled since that time.</w:t>
      </w:r>
      <w:r>
        <w:rPr>
          <w:rStyle w:val="FootnoteReference"/>
        </w:rPr>
        <w:footnoteReference w:id="5"/>
      </w:r>
      <w:r>
        <w:t xml:space="preserve">  </w:t>
      </w:r>
    </w:p>
    <w:p>
      <w:pPr>
        <w:spacing w:line="480" w:lineRule="auto"/>
      </w:pPr>
      <w:r>
        <w:tab/>
        <w:t>On December 17, 2013, the assigned senior trial counsel, Anthony Garcia (STC Garcia), sent an email to the email address listed on Respondent’s membership record,</w:t>
      </w:r>
      <w:r>
        <w:rPr>
          <w:rStyle w:val="FootnoteReference"/>
        </w:rPr>
        <w:footnoteReference w:id="6"/>
      </w:r>
      <w:r>
        <w:t xml:space="preserve"> advising Respondent that a default motion had been filed in the instant case and asking him to contact the State Bar Court or the assigned senior trial counsel.  That same day, STC Garcia received an email from Respondent indicating his email address had changed and asking that the message be resent to another specified email address.</w:t>
      </w:r>
    </w:p>
    <w:p>
      <w:pPr>
        <w:spacing w:line="480" w:lineRule="auto"/>
      </w:pPr>
      <w:r>
        <w:tab/>
        <w:t xml:space="preserve">STC Garcia sent an email on December 17, 2013, to the new specified email address, advising Respondent that he had filed a default motion in the instant case and asking him to contact the State Bar Court or STC Garcia.   </w:t>
      </w:r>
    </w:p>
    <w:p>
      <w:pPr>
        <w:spacing w:line="480" w:lineRule="auto"/>
      </w:pPr>
      <w:r>
        <w:tab/>
        <w:t xml:space="preserve">STC Garcia received an email from Respondent on December 17, 2013, stating that he was unfamiliar with the present matter and that he assumed it was related to his Arizona felony conviction.  Respondent also stated that he had closed his practice and expected to be disbarred. </w:t>
      </w:r>
    </w:p>
    <w:p>
      <w:pPr>
        <w:spacing w:line="480" w:lineRule="auto"/>
      </w:pPr>
      <w:r>
        <w:rPr>
          <w:b/>
        </w:rPr>
        <w:tab/>
      </w:r>
      <w:r>
        <w:t>On December 19, 2013, STC Garcia sent an email to Respondent attaching the NDC in this matter, the default motion, and a link to the State Bar Rules of Procedure on the public website.</w:t>
      </w:r>
    </w:p>
    <w:p>
      <w:pPr>
        <w:spacing w:line="480" w:lineRule="auto"/>
        <w:rPr>
          <w:b/>
        </w:rPr>
      </w:pPr>
      <w:r>
        <w:lastRenderedPageBreak/>
        <w:tab/>
        <w:t>Respondent sent an email to STC Garcia on December 19, 2013, thanking STC Garcia  for reaching out to him.  STC Garcia responded and enclosed a printout of Respondent’s membership records page and reminding Respondent that it is his obligation to update his membership record with his current contact information.</w:t>
      </w:r>
      <w:r>
        <w:rPr>
          <w:rStyle w:val="FootnoteReference"/>
        </w:rPr>
        <w:footnoteReference w:id="7"/>
      </w:r>
      <w:r>
        <w:t xml:space="preserve">       </w:t>
      </w:r>
    </w:p>
    <w:p>
      <w:pPr>
        <w:spacing w:line="480" w:lineRule="auto"/>
      </w:pPr>
      <w:r>
        <w:rPr>
          <w:b/>
        </w:rPr>
        <w:tab/>
      </w:r>
      <w:r>
        <w:t>Respondent did not seek to have his default set aside or vacated.  (Rule 5.83(C)(1) [attorney has 180 days to file motion to set aside default].)  On September 16, 2014, the State Bar filed and served the petition for disbarment on Respondent by certified mail, return receipt requested, to his membership records address.  As required by rule 5.85(A), the State Bar reported in the petition that (1) Respondent has not contacted STC Garcia since December 19, 2013;</w:t>
      </w:r>
      <w:r>
        <w:rPr>
          <w:rStyle w:val="FootnoteReference"/>
        </w:rPr>
        <w:footnoteReference w:id="8"/>
      </w:r>
      <w:r>
        <w:t xml:space="preserve"> (2) there is another disciplinary matter pending against Respondent; (3) Respondent does not have a prior record of discipline; and (4) the Client Security Fund has not paid out any claim as a result of Respondent’s conduct.  Respondent did not respond to the petition for disbarment or move to set aside or vacate the default.  The case was submitted for decision on October 20, 2014.         </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pPr>
      <w:r>
        <w:t>///</w:t>
      </w:r>
    </w:p>
    <w:p>
      <w:pPr>
        <w:spacing w:line="480" w:lineRule="auto"/>
      </w:pPr>
      <w:r>
        <w:t>///</w:t>
      </w:r>
    </w:p>
    <w:p>
      <w:pPr>
        <w:spacing w:line="480" w:lineRule="auto"/>
        <w:rPr>
          <w:b/>
        </w:rPr>
      </w:pPr>
      <w:r>
        <w:rPr>
          <w:b/>
        </w:rPr>
        <w:lastRenderedPageBreak/>
        <w:tab/>
        <w:t>Case Number 13-N-15294 (Failure to Obey Court Order)</w:t>
      </w:r>
    </w:p>
    <w:p>
      <w:pPr>
        <w:spacing w:line="480" w:lineRule="auto"/>
      </w:pPr>
      <w:r>
        <w:rPr>
          <w:b/>
        </w:rPr>
        <w:tab/>
      </w:r>
      <w:r>
        <w:t xml:space="preserve">Respondent willfully violated Business and Professions Code section 6103 (failure to obey a court order) by failing to comply with the May 24, 2013, order of the Review Department of the State Bar Court requiring Respondent to file a declaration of compliance with California Rules of Court, rule 9.20, with the clerk of the State Bar Court by July 31, 2013.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tab/>
        <w:t xml:space="preserve">(1) the NDC was properly served on Respondent; </w:t>
      </w:r>
    </w:p>
    <w:p>
      <w:pPr>
        <w:spacing w:line="480" w:lineRule="auto"/>
        <w:rPr>
          <w:b/>
        </w:rPr>
      </w:pPr>
      <w:r>
        <w:rPr>
          <w:b/>
        </w:rPr>
        <w:tab/>
      </w:r>
      <w:r>
        <w:t>(2) reasonable diligence was used to notify Respondent of the proceedings prior to the entry of his default, as the State Bar (a) filed and served the NDC on respondent by certified mail, return receipt requested, to his membership records address; (b)</w:t>
      </w:r>
      <w:r>
        <w:rPr>
          <w:b/>
        </w:rPr>
        <w:t xml:space="preserve"> </w:t>
      </w:r>
      <w:r>
        <w:t>attempted to reach Respondent by telephone; (c) called directory assistance; and (d) checked Parker’s directory.  Respondent also had actual notice of the proceeding as STC Garcia sent three emails to Respondent, and Respondent replied to two of the emails;</w:t>
      </w:r>
    </w:p>
    <w:p>
      <w:pPr>
        <w:spacing w:line="480" w:lineRule="auto"/>
      </w:pPr>
      <w:r>
        <w:tab/>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and actual notice and opportunity, Respondent failed to participate in this disciplinary proceeding.  As set forth in the Rules of Procedure of the State Bar, the court recommends disbarment.     </w:t>
      </w:r>
    </w:p>
    <w:p>
      <w:pPr>
        <w:spacing w:line="480" w:lineRule="auto"/>
      </w:pPr>
      <w:r>
        <w:t>///</w:t>
      </w:r>
    </w:p>
    <w:p>
      <w:pPr>
        <w:spacing w:line="480" w:lineRule="auto"/>
      </w:pPr>
      <w:r>
        <w:t>///</w:t>
      </w:r>
    </w:p>
    <w:p>
      <w:pPr>
        <w:spacing w:line="480" w:lineRule="auto"/>
        <w:jc w:val="center"/>
        <w:rPr>
          <w:b/>
        </w:rPr>
      </w:pPr>
      <w:r>
        <w:rPr>
          <w:b/>
        </w:rPr>
        <w:lastRenderedPageBreak/>
        <w:t>RECOMMENDATION</w:t>
      </w:r>
    </w:p>
    <w:p>
      <w:pPr>
        <w:spacing w:line="480" w:lineRule="auto"/>
        <w:rPr>
          <w:b/>
        </w:rPr>
      </w:pPr>
      <w:r>
        <w:rPr>
          <w:b/>
        </w:rPr>
        <w:t>Disbarment</w:t>
      </w:r>
      <w:r>
        <w:rPr>
          <w:b/>
        </w:rPr>
        <w:tab/>
      </w:r>
    </w:p>
    <w:p>
      <w:pPr>
        <w:spacing w:line="480" w:lineRule="auto"/>
      </w:pPr>
      <w:r>
        <w:rPr>
          <w:b/>
        </w:rPr>
        <w:tab/>
      </w:r>
      <w:r>
        <w:t xml:space="preserve">The court recommends that Respondent </w:t>
      </w:r>
      <w:r>
        <w:rPr>
          <w:b/>
        </w:rPr>
        <w:t>Chris M. Rusch</w:t>
      </w:r>
      <w:r>
        <w:t>, State Bar number 210913</w:t>
      </w:r>
      <w:r>
        <w:rPr>
          <w:bCs/>
        </w:rPr>
        <w:t>,</w:t>
      </w:r>
      <w:r>
        <w:t xml:space="preserve">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w:t>
      </w:r>
      <w:r>
        <w:rPr>
          <w:b/>
        </w:rPr>
        <w:t>Chris M. Rusch</w:t>
      </w:r>
      <w:r>
        <w:t>, State Bar number 210913,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January _____, 2015</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This matter was originally assigned to the Honorable Richard A. Honn.  However, effective May 9, 2014, this matter was reassigned to the undersigned judge.</w:t>
      </w:r>
    </w:p>
  </w:footnote>
  <w:footnote w:id="2">
    <w:p>
      <w:pPr>
        <w:pStyle w:val="FootnoteText"/>
      </w:pPr>
      <w:r>
        <w:rPr>
          <w:rStyle w:val="FootnoteReference"/>
        </w:rPr>
        <w:footnoteRef/>
      </w:r>
      <w:r>
        <w:t xml:space="preserve"> Unless otherwise indicated, all references to rules are to this source.  The Rules of Procedure of the State Bar regarding defaults, rules 5.80 through 5.86, were substantively revised effective July 1, 2014.  However, as the default in this case was entered prior to July 1, 2014, the court, in the interests of justice, will apply in this matter former rules 5.80 through 5.86 of the Rules of Procedure of the State Bar which were in effect from January 1, 2011, through June 30, 2014. </w:t>
      </w:r>
    </w:p>
    <w:p>
      <w:pPr>
        <w:pStyle w:val="FootnoteText"/>
      </w:pP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 </w:t>
      </w:r>
    </w:p>
  </w:footnote>
  <w:footnote w:id="4">
    <w:p>
      <w:pPr>
        <w:pStyle w:val="FootnoteText"/>
        <w:spacing w:after="0"/>
      </w:pPr>
      <w:r>
        <w:rPr>
          <w:rStyle w:val="FootnoteReference"/>
        </w:rPr>
        <w:footnoteRef/>
      </w:r>
      <w:r>
        <w:t xml:space="preserve"> According to the United States Postal Service website, the motion was delivered in West Hollywood, California on December 18, 2013.</w:t>
      </w:r>
    </w:p>
  </w:footnote>
  <w:footnote w:id="5">
    <w:p>
      <w:pPr>
        <w:pStyle w:val="FootnoteText"/>
        <w:spacing w:after="0"/>
      </w:pPr>
      <w:r>
        <w:rPr>
          <w:rStyle w:val="FootnoteReference"/>
        </w:rPr>
        <w:footnoteRef/>
      </w:r>
      <w:r>
        <w:t xml:space="preserve"> The return receipt for the order indicates that it was received by Rob Amoyaw, and the date of delivery was January 10, 2014.</w:t>
      </w:r>
    </w:p>
  </w:footnote>
  <w:footnote w:id="6">
    <w:p>
      <w:pPr>
        <w:pStyle w:val="FootnoteText"/>
        <w:spacing w:after="0"/>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7">
    <w:p>
      <w:pPr>
        <w:pStyle w:val="FootnoteText"/>
        <w:spacing w:after="0"/>
      </w:pPr>
      <w:r>
        <w:rPr>
          <w:rStyle w:val="FootnoteReference"/>
        </w:rPr>
        <w:footnoteRef/>
      </w:r>
      <w:r>
        <w:t xml:space="preserve"> STC Garcia learned that the District Court sentenced Respondent to 10 months in prison on March 18, 2014.</w:t>
      </w:r>
    </w:p>
  </w:footnote>
  <w:footnote w:id="8">
    <w:p>
      <w:pPr>
        <w:pStyle w:val="FootnoteText"/>
        <w:spacing w:after="0"/>
      </w:pPr>
      <w:r>
        <w:rPr>
          <w:rStyle w:val="FootnoteReference"/>
        </w:rPr>
        <w:footnoteRef/>
      </w:r>
      <w:r>
        <w:t xml:space="preserve"> Therefore, STC Garcia has not had any contact with Respondent since his default was entered on January 7,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akh7+2AiMUjdf5EQgztW7V8Z/FY=" w:salt="8xHlXvmbXn6NUrNK4GiaRQ=="/>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7642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2015-01-30T21:51:00Z</dcterms:created>
  <dcterms:modified xsi:type="dcterms:W3CDTF">2015-01-30T21:51:00Z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