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MAY 20, 2015</w:t>
      </w:r>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FREDERICK T. JELIN,</w:t>
            </w:r>
          </w:p>
          <w:p>
            <w:pPr>
              <w:rPr>
                <w:b/>
                <w:bCs/>
              </w:rPr>
            </w:pPr>
          </w:p>
          <w:p>
            <w:pPr>
              <w:rPr>
                <w:b/>
                <w:bCs/>
              </w:rPr>
            </w:pPr>
            <w:r>
              <w:rPr>
                <w:b/>
                <w:bCs/>
              </w:rPr>
              <w:t>Member No.  105786,</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14-N-03850-DFM</w:t>
            </w:r>
          </w:p>
          <w:p>
            <w:pPr>
              <w:rPr>
                <w:bCs/>
              </w:rPr>
            </w:pP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ind w:firstLine="720"/>
      </w:pPr>
    </w:p>
    <w:p>
      <w:pPr>
        <w:ind w:firstLine="720"/>
      </w:pPr>
    </w:p>
    <w:p>
      <w:pPr>
        <w:spacing w:line="480" w:lineRule="auto"/>
        <w:ind w:firstLine="720"/>
      </w:pPr>
      <w:r>
        <w:t xml:space="preserve">Respondent </w:t>
      </w:r>
      <w:r>
        <w:rPr>
          <w:b/>
        </w:rPr>
        <w:t>Frederick T. Jelin</w:t>
      </w:r>
      <w:r>
        <w:t xml:space="preserve"> (Respondent) was charged with violating California Rules of Court, rule 9.20, by willfully failing to comply with rule 9.20 as ordered by the Supreme Court.  Respondent failed to participate, either in person or through counsel, and his default was entered.  The Office of the Chief Trial Counsel of the State Bar of California (State Bar) filed a petition for disbarment under rule 5.85 of the Rules of Procedure of the State Bar.</w:t>
      </w:r>
      <w:r>
        <w:rPr>
          <w:rStyle w:val="FootnoteReference"/>
        </w:rPr>
        <w:footnoteReference w:id="1"/>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90 days, the State Bar will file a petition requesting the court to recommend the attorney’s disbarment.</w:t>
      </w:r>
      <w:r>
        <w:rPr>
          <w:rStyle w:val="FootnoteReference"/>
        </w:rPr>
        <w:footnoteReference w:id="2"/>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rPr>
          <w:b/>
        </w:rPr>
      </w:pPr>
      <w:r>
        <w:rPr>
          <w:b/>
        </w:rPr>
        <w:t>Jurisdiction</w:t>
      </w:r>
    </w:p>
    <w:p>
      <w:pPr>
        <w:spacing w:line="480" w:lineRule="auto"/>
        <w:ind w:firstLine="720"/>
      </w:pPr>
      <w:r>
        <w:t>Respondent was admitted to practice law in this state on December 3, 1982, and has been a member since then.</w:t>
      </w:r>
    </w:p>
    <w:p>
      <w:pPr>
        <w:spacing w:line="480" w:lineRule="auto"/>
        <w:rPr>
          <w:b/>
        </w:rPr>
      </w:pPr>
      <w:r>
        <w:rPr>
          <w:b/>
        </w:rPr>
        <w:t>Procedural Requirements Have Been Satisfied</w:t>
      </w:r>
    </w:p>
    <w:p>
      <w:pPr>
        <w:spacing w:line="480" w:lineRule="auto"/>
        <w:ind w:firstLine="720"/>
      </w:pPr>
      <w:r>
        <w:t xml:space="preserve">On September 23, 2014, the State Bar properly filed and served a Notice of Disciplinary Charges (NDC) on Respondent by certified mail, return receipt requested, at his membership records address.  The NDC notified Respondent that his failure to participate in the proceeding would result in a disbarment recommendation.  (Rule 5.41.)  On September 29, 2014, the State Bar received the return receipt/signature card, dated September 24, 2014, bearing the signature of one “Aura Escobar.”  A box on the receipt/signature card, which was checked, indicated that the signer was acting as an “Agent.”  </w:t>
      </w:r>
    </w:p>
    <w:p>
      <w:pPr>
        <w:spacing w:line="480" w:lineRule="auto"/>
        <w:ind w:firstLine="720"/>
      </w:pPr>
      <w:r>
        <w:t>In addition, reasonable diligence was also used to notify Respondent of this proceeding.  The State Bar made several attempts to contact Respondent.  On October 15, 2014, a courtesy copy of the NDC was sent to Respondent at his membership records address by first class mail.  That mailing was not returned to the State Bar by the U.S. Postal Service.</w:t>
      </w:r>
    </w:p>
    <w:p>
      <w:pPr>
        <w:spacing w:line="480" w:lineRule="auto"/>
        <w:ind w:firstLine="720"/>
      </w:pPr>
      <w:r>
        <w:t xml:space="preserve">On October 15, 2014, the State Bar deputy trial counsel (DTC) assigned to this matter, knowing that Respondent was on disciplinary probation, contacted his assigned probation deputy to ascertain whether Respondent’s profile contained any alternative address.  The Office of Probation had an alternative address for Respondent, which it provided to the DTC.  On October </w:t>
      </w:r>
      <w:r>
        <w:lastRenderedPageBreak/>
        <w:t>16, 2014, a courtesy copy of the NDC was sent to that alternative address.  That mailing was also not returned by the U.S. Postal Service.</w:t>
      </w:r>
    </w:p>
    <w:p>
      <w:pPr>
        <w:spacing w:line="480" w:lineRule="auto"/>
        <w:ind w:firstLine="720"/>
      </w:pPr>
      <w:r>
        <w:t>On October 20, 2014, the DTC telephoned Respondent at his membership records telephone number.  Respondent, who answered the phone, stated that he had not received a copy of the NDC because he had been out-of-state and asked the DTC to send him a copy of the NDC via email.  Respondent provided the email address to which he wanted the NDC sent.  On October 20</w:t>
      </w:r>
      <w:r>
        <w:rPr>
          <w:vertAlign w:val="superscript"/>
        </w:rPr>
        <w:t>th</w:t>
      </w:r>
      <w:r>
        <w:t>, the DTC emailed the NDC as requested by Respondent.  In addition to sending a copy of the NDC to the email address provided by Respondent, the DTC requested that Respondent file an immediate response to the NDC and indicated that, if he failed to do so, the State Bar would file a motion for entry of his default.</w:t>
      </w:r>
    </w:p>
    <w:p>
      <w:pPr>
        <w:spacing w:line="480" w:lineRule="auto"/>
        <w:ind w:firstLine="720"/>
      </w:pPr>
      <w:r>
        <w:t xml:space="preserve">On October 23, 2014, the DTC sent an additional email message to the email address provided by Respondent, informing him that an answer to the NDC had not been received and that a motion for entry of his default would follow. </w:t>
      </w:r>
    </w:p>
    <w:p>
      <w:pPr>
        <w:spacing w:line="480" w:lineRule="auto"/>
        <w:ind w:firstLine="720"/>
      </w:pPr>
      <w:r>
        <w:t xml:space="preserve">Notwithstanding the above efforts by the DTC, Respondent did not file a response to the NDC.  On October 24, 2014, the State Bar filed and properly served a motion for entry of Respondent’s default.  The motion complied with all the requirements for a default, including a supporting declaration of reasonable diligence by the DTC,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November 14, 2014.  The order entering the default was served on Respondent at his membership records address by certified mail, return receipt requested.  The court also ordered Respondent’s involuntary inactive enrollment as a member of the State Bar under Business and Professions </w:t>
      </w:r>
      <w:r>
        <w:lastRenderedPageBreak/>
        <w:t>Code section 6007, subdivision (e), effective three days after service of the order.  He has remained inactively enrolled since that time.</w:t>
      </w:r>
    </w:p>
    <w:p>
      <w:pPr>
        <w:spacing w:line="480" w:lineRule="auto"/>
        <w:ind w:firstLine="720"/>
      </w:pPr>
      <w:r>
        <w:t>Respondent did not seek to have his default set aside or vacated.  (Rule 5.83(C)(1) [attorney has 90 days to file motion to set aside default].)  On February 18, 2015, the State Bar filed the petition for disbarment.  As required by rule 5.85(A), the State Bar reported in the petition that:  (1) Respondent has not contacted the State Bar since his default was entered; (2) there is one investigation matter pending against Respondent; (3) Respondent has two prior records of discipline; and (4) the Client Security Fund has not made any payments resulting from Respondent’s conduct.  Respondent did not respond to the petition for disbarment or move to set aside or vacate the default.  The case was submitted for decision on March 24, 2015.</w:t>
      </w:r>
    </w:p>
    <w:p>
      <w:pPr>
        <w:spacing w:line="480" w:lineRule="auto"/>
        <w:rPr>
          <w:b/>
        </w:rPr>
      </w:pPr>
      <w:r>
        <w:rPr>
          <w:b/>
        </w:rPr>
        <w:t>Prior Record of Discipline</w:t>
      </w:r>
    </w:p>
    <w:p>
      <w:pPr>
        <w:spacing w:line="480" w:lineRule="auto"/>
        <w:ind w:firstLine="720"/>
      </w:pPr>
      <w:r>
        <w:t>Respondent has two prior records of discipline.  Pursuant to an order of the State Bar Court filed on July 20, 2012, in State Bar Court case No. 07-C-14226, Respondent was publicly reproved with conditions for conduct that resulted in his criminal conviction for violating Penal Code section 148(a), i.e., resisting arrest.</w:t>
      </w:r>
    </w:p>
    <w:p>
      <w:pPr>
        <w:spacing w:line="480" w:lineRule="auto"/>
        <w:ind w:firstLine="720"/>
      </w:pPr>
      <w:r>
        <w:t>Pursuant to a Supreme Court order filed on March 24, 2014, Respondent was suspended for two years, the execution of which was stayed, and placed on probation for three years subject to conditions, including that he be suspended from the practice of law for the first 90 days of his probation, for failing to comply with certain conditions attached to his public reproval.  Specifically, Respondent willfully violated rule 1-110 of the Rules of Professional Conduct by failing to:  (1) contact the Office of Probation and schedule a meeting to discuss the conditions of his reproval within 30 days from the effective date of the discipline in the reproval matter; and (2) file three quarterly reports by their due dates.</w:t>
      </w:r>
    </w:p>
    <w:p>
      <w:pPr>
        <w:spacing w:line="480" w:lineRule="auto"/>
        <w:ind w:firstLine="720"/>
      </w:pPr>
    </w:p>
    <w:p>
      <w:pPr>
        <w:spacing w:line="480" w:lineRule="auto"/>
        <w:rPr>
          <w:b/>
        </w:rPr>
      </w:pPr>
      <w:r>
        <w:rPr>
          <w:b/>
        </w:rPr>
        <w:lastRenderedPageBreak/>
        <w:t>The Admitted Factual Allegations Warrant the Imposition of Discipline</w:t>
      </w:r>
    </w:p>
    <w:p>
      <w:pPr>
        <w:spacing w:line="480" w:lineRule="auto"/>
        <w:ind w:firstLine="720"/>
      </w:pPr>
      <w:r>
        <w:t>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5.85(F)(1)(d).)</w:t>
      </w:r>
    </w:p>
    <w:p>
      <w:pPr>
        <w:spacing w:line="480" w:lineRule="auto"/>
        <w:rPr>
          <w:b/>
        </w:rPr>
      </w:pPr>
      <w:r>
        <w:rPr>
          <w:b/>
        </w:rPr>
        <w:t>Case Number 14-N-03850 (The Rule 9.20 Matter)</w:t>
      </w:r>
    </w:p>
    <w:p>
      <w:pPr>
        <w:spacing w:line="480" w:lineRule="auto"/>
        <w:ind w:firstLine="720"/>
      </w:pPr>
      <w:r>
        <w:t>Respondent willfully violated California Rules of Court, rule 9.20 (duties of disbarred, resigned, or suspended attorneys) by not filing a declaration of compliance with rule 9.20 in conformity with the requirements of rule 9.20(c), thereby failing to comply with the Supreme Court order requiring timely compliance with California Rules of Court, rule 9.20.</w:t>
      </w:r>
    </w:p>
    <w:p>
      <w:pPr>
        <w:spacing w:line="480" w:lineRule="auto"/>
        <w:rPr>
          <w:b/>
        </w:rPr>
      </w:pPr>
      <w:r>
        <w:rPr>
          <w:b/>
        </w:rPr>
        <w:t>Disbarment is Recommended</w:t>
      </w:r>
    </w:p>
    <w:p>
      <w:pPr>
        <w:spacing w:line="480" w:lineRule="auto"/>
        <w:ind w:firstLine="720"/>
      </w:pPr>
      <w:r>
        <w:t>Based on the above, the court concludes that the requirements of rule 5.85(F) have been satisfied, and Respondent’s disbarment is recommended.  In particular:</w:t>
      </w:r>
    </w:p>
    <w:p>
      <w:pPr>
        <w:spacing w:line="480" w:lineRule="auto"/>
        <w:ind w:firstLine="720"/>
      </w:pPr>
      <w:r>
        <w:t>(1) the NDC was properly served on Respondent under rule 5.25;</w:t>
      </w:r>
    </w:p>
    <w:p>
      <w:pPr>
        <w:spacing w:line="480" w:lineRule="auto"/>
        <w:ind w:firstLine="720"/>
      </w:pPr>
      <w:r>
        <w:t>(2) reasonable diligence was used to notify Respondent of the proceedings prior to the entry of his default;</w:t>
      </w:r>
    </w:p>
    <w:p>
      <w:pPr>
        <w:spacing w:line="480" w:lineRule="auto"/>
        <w:ind w:firstLine="720"/>
      </w:pPr>
      <w:r>
        <w:t>(3) the default was properly entered under rule 5.80; and</w:t>
      </w:r>
    </w:p>
    <w:p>
      <w:pPr>
        <w:spacing w:line="480" w:lineRule="auto"/>
        <w:ind w:firstLine="720"/>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rPr>
          <w:b/>
        </w:rPr>
      </w:pPr>
      <w:r>
        <w:t>Despite adequate notice and opportunity, Respondent failed to participate in this disciplinary proceeding.  As set forth in the Rules of Procedure of the State Bar, the court recommends disbarment.</w:t>
      </w:r>
    </w:p>
    <w:p>
      <w:pPr>
        <w:spacing w:line="480" w:lineRule="auto"/>
        <w:jc w:val="center"/>
        <w:rPr>
          <w:b/>
        </w:rPr>
      </w:pPr>
      <w:r>
        <w:rPr>
          <w:b/>
        </w:rPr>
        <w:lastRenderedPageBreak/>
        <w:t>RECOMMENDATIONS</w:t>
      </w:r>
    </w:p>
    <w:p>
      <w:pPr>
        <w:spacing w:line="480" w:lineRule="auto"/>
        <w:rPr>
          <w:b/>
        </w:rPr>
      </w:pPr>
      <w:r>
        <w:rPr>
          <w:b/>
        </w:rPr>
        <w:t>Disbarment</w:t>
      </w:r>
    </w:p>
    <w:p>
      <w:pPr>
        <w:spacing w:line="480" w:lineRule="auto"/>
        <w:ind w:firstLine="720"/>
      </w:pPr>
      <w:r>
        <w:t xml:space="preserve">The court recommends that respondent </w:t>
      </w:r>
      <w:r>
        <w:rPr>
          <w:b/>
        </w:rPr>
        <w:t>Frederick T. Jelin</w:t>
      </w:r>
      <w:r>
        <w:t>, State Bar number 105786, be disbarred from the practice of law in the State of California and that his name be stricken from the roll of attorneys.</w:t>
      </w:r>
    </w:p>
    <w:p>
      <w:pPr>
        <w:spacing w:line="480" w:lineRule="auto"/>
        <w:rPr>
          <w:b/>
        </w:rPr>
      </w:pPr>
      <w:r>
        <w:rPr>
          <w:b/>
        </w:rPr>
        <w:t>California Rules of Court, Rule 9.20</w:t>
      </w:r>
    </w:p>
    <w:p>
      <w:pPr>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ind w:firstLine="720"/>
      </w:pPr>
      <w:r>
        <w:t xml:space="preserve">In accordance with Business and Professions Code section 6007, subdivision (c)(4), the court orders that </w:t>
      </w:r>
      <w:r>
        <w:rPr>
          <w:b/>
        </w:rPr>
        <w:t>Frederick T. Jelin</w:t>
      </w:r>
      <w:r>
        <w:t>, State Bar number 105786, be involuntarily enrolled as an inactive member of the State Bar of California, effective three calendar days after the service of this decision and order.  (Rule 5.111(D).)</w:t>
      </w:r>
    </w:p>
    <w:p>
      <w:pPr>
        <w:spacing w:line="480" w:lineRule="auto"/>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pPr>
              <w:pStyle w:val="Header"/>
              <w:tabs>
                <w:tab w:val="clear" w:pos="4320"/>
                <w:tab w:val="clear" w:pos="8640"/>
              </w:tabs>
            </w:pPr>
            <w:r>
              <w:t xml:space="preserve">Dated:  </w:t>
            </w:r>
            <w:r>
              <w:rPr>
                <w:noProof/>
              </w:rPr>
              <w:t>June _____, 2015</w:t>
            </w:r>
          </w:p>
        </w:tc>
        <w:tc>
          <w:tcPr>
            <w:tcW w:w="4560" w:type="dxa"/>
            <w:tcBorders>
              <w:top w:val="single" w:sz="4" w:space="0" w:color="auto"/>
              <w:bottom w:val="nil"/>
              <w:right w:val="nil"/>
            </w:tcBorders>
          </w:tcPr>
          <w:p>
            <w:pPr>
              <w:rPr>
                <w:b/>
              </w:rPr>
            </w:pPr>
            <w:r>
              <w:rPr>
                <w:b/>
              </w:rPr>
              <w:t>DONALD F. MILES</w:t>
            </w:r>
          </w:p>
        </w:tc>
      </w:tr>
      <w:tr>
        <w:tc>
          <w:tcPr>
            <w:tcW w:w="4795" w:type="dxa"/>
            <w:tcBorders>
              <w:left w:val="nil"/>
              <w:bottom w:val="nil"/>
            </w:tcBorders>
          </w:tcPr>
          <w:p/>
        </w:tc>
        <w:tc>
          <w:tcPr>
            <w:tcW w:w="4560"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90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spacing w:after="0"/>
      </w:pPr>
      <w:r>
        <w:rPr>
          <w:rStyle w:val="FootnoteReference"/>
        </w:rPr>
        <w:footnoteRef/>
      </w:r>
      <w:r>
        <w:t xml:space="preserve"> Unless otherwise indicated, all references to rules are to this source.</w:t>
      </w:r>
    </w:p>
  </w:footnote>
  <w:footnote w:id="2">
    <w:p>
      <w:pPr>
        <w:pStyle w:val="FootnoteText"/>
        <w:spacing w:after="0"/>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5.85(F)(2).)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removePersonalInformation/>
  <w:removeDateAndTime/>
  <w:proofState w:spelling="clean"/>
  <w:documentProtection w:edit="forms" w:enforcement="1" w:cryptProviderType="rsaFull" w:cryptAlgorithmClass="hash" w:cryptAlgorithmType="typeAny" w:cryptAlgorithmSid="4" w:cryptSpinCount="100000" w:hash="8ZfCtAmn2U80g6AdBxbVbHvzXtU=" w:salt="y2DKEdY9dWi5u6a3brMeuQ=="/>
  <w:defaultTabStop w:val="720"/>
  <w:drawingGridHorizontalSpacing w:val="120"/>
  <w:displayHorizontalDrawingGridEvery w:val="2"/>
  <w:displayVerticalDrawingGridEvery w:val="2"/>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tabs>
        <w:tab w:val="left" w:pos="6390"/>
      </w:tabs>
      <w:spacing w:after="1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tabs>
        <w:tab w:val="left" w:pos="6390"/>
      </w:tabs>
      <w:spacing w:after="1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1583</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2015-06-08T22:56:00Z</dcterms:created>
  <dcterms:modified xsi:type="dcterms:W3CDTF">2015-06-08T23:00:00Z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