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vertAlign w:val="superscript"/>
        </w:rPr>
      </w:pPr>
      <w:r>
        <w:rPr>
          <w:b/>
          <w:vertAlign w:val="superscript"/>
        </w:rPr>
        <w:t>FILED OCTOBER 25,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MICHAEL PATRICK RIDLEY</w:t>
            </w:r>
          </w:p>
          <w:p>
            <w:pPr>
              <w:rPr>
                <w:b/>
                <w:bCs/>
              </w:rPr>
            </w:pPr>
          </w:p>
          <w:p>
            <w:pPr>
              <w:rPr>
                <w:b/>
                <w:bCs/>
              </w:rPr>
            </w:pPr>
            <w:r>
              <w:rPr>
                <w:b/>
                <w:bCs/>
              </w:rPr>
              <w:t>Member No.  54409,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08-C-10827; 08-O-13057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SEALING CERTAIN DOCUMENTS</w:t>
            </w:r>
          </w:p>
        </w:tc>
      </w:tr>
    </w:tbl>
    <w:p>
      <w:pPr>
        <w:spacing w:line="480" w:lineRule="auto"/>
      </w:pPr>
    </w:p>
    <w:p>
      <w:pPr>
        <w:spacing w:line="480" w:lineRule="auto"/>
        <w:jc w:val="center"/>
        <w:rPr>
          <w:b/>
        </w:rPr>
      </w:pPr>
      <w:r>
        <w:rPr>
          <w:b/>
        </w:rPr>
        <w:t>INTRODUCTION</w:t>
      </w:r>
    </w:p>
    <w:p>
      <w:pPr>
        <w:spacing w:line="480" w:lineRule="auto"/>
        <w:ind w:firstLine="720"/>
      </w:pPr>
      <w:r>
        <w:t>In this disciplinary proceeding, respondent Michael Patrick Ridley was accepted for participation in the State Bar Court’s Alternative Discipline Program (ADP).</w:t>
      </w:r>
      <w:r>
        <w:rPr>
          <w:rStyle w:val="FootnoteReference"/>
        </w:rPr>
        <w:footnoteReference w:id="1"/>
      </w:r>
      <w:r>
        <w:t xml:space="preserve">  As the court has now terminated respondent from the ADP, the court will recommend to the Supreme Court that respondent be suspended from the practice of law in California for three years, that execution of that period of suspension be stayed, and that he be placed on probation for four years subject to certain conditions, including a six-month period of suspension.  </w:t>
      </w:r>
    </w:p>
    <w:p>
      <w:pPr>
        <w:jc w:val="center"/>
        <w:rPr>
          <w:b/>
        </w:rPr>
      </w:pPr>
      <w:r>
        <w:rPr>
          <w:b/>
        </w:rPr>
        <w:t>PERTINENT PROCEDURAL HISTORY</w:t>
      </w:r>
    </w:p>
    <w:p>
      <w:pPr>
        <w:jc w:val="center"/>
        <w:rPr>
          <w:b/>
          <w:u w:val="single"/>
        </w:rPr>
      </w:pPr>
    </w:p>
    <w:p>
      <w:pPr>
        <w:spacing w:line="480" w:lineRule="auto"/>
        <w:ind w:firstLine="720"/>
      </w:pPr>
      <w:r>
        <w:t xml:space="preserve">After the transmittal to the </w:t>
      </w:r>
      <w:r>
        <w:rPr>
          <w:rFonts w:eastAsiaTheme="minorEastAsia"/>
        </w:rPr>
        <w:t>State Bar Court</w:t>
      </w:r>
      <w:r>
        <w:t xml:space="preserve"> of respondent’s conviction record, the Review Department issued orders on April 23 and May 12, 2008, referring respondent’s final </w:t>
      </w:r>
      <w:r>
        <w:lastRenderedPageBreak/>
        <w:t xml:space="preserve">misdemeanor conviction for violating Vehicle Code sections 23152(a) and 23223(a) to the Hearing Department. </w:t>
      </w:r>
    </w:p>
    <w:p>
      <w:pPr>
        <w:spacing w:line="480" w:lineRule="auto"/>
        <w:ind w:firstLine="720"/>
      </w:pPr>
      <w:r>
        <w:t>A notice of hearing on conviction was filed against respondent on April 25, 2008.</w:t>
      </w:r>
    </w:p>
    <w:p>
      <w:pPr>
        <w:spacing w:line="480" w:lineRule="auto"/>
        <w:ind w:firstLine="720"/>
      </w:pPr>
      <w:r>
        <w:t xml:space="preserve">On June 10, 2008, this matter was referred to the State Bar Court’s ADP before the undersigned judge for evaluation of respondent’s eligibility for participation therein.  </w:t>
      </w:r>
    </w:p>
    <w:p>
      <w:pPr>
        <w:spacing w:line="480" w:lineRule="auto"/>
        <w:ind w:firstLine="720"/>
      </w:pPr>
      <w:r>
        <w:t xml:space="preserve">In furtherance of his participation in the ADP, respondent signed a Participation Agreement with the LAP.  Respondent also submitted declarations to the court on July 30 and September 16, 2008, which established a nexus between respondent’s substance abuse issues and his misconduct in these matters.   </w:t>
      </w:r>
    </w:p>
    <w:p>
      <w:pPr>
        <w:spacing w:line="480" w:lineRule="auto"/>
        <w:ind w:firstLine="720"/>
      </w:pPr>
      <w:r>
        <w:t>The case was abated on December 22, 2008.</w:t>
      </w:r>
    </w:p>
    <w:p>
      <w:pPr>
        <w:spacing w:line="480" w:lineRule="auto"/>
        <w:ind w:firstLine="720"/>
      </w:pPr>
      <w:r>
        <w:t>On July 20, 2009, case no. 08-H-13057 was filed against respondent.</w:t>
      </w:r>
    </w:p>
    <w:p>
      <w:pPr>
        <w:spacing w:line="480" w:lineRule="auto"/>
        <w:ind w:firstLine="720"/>
      </w:pPr>
      <w:r>
        <w:t>On August 27, 2009, the conviction referral case was reinstated to active status and consolidated with the other matter.</w:t>
      </w:r>
    </w:p>
    <w:p>
      <w:pPr>
        <w:spacing w:line="480" w:lineRule="auto"/>
        <w:ind w:firstLine="720"/>
      </w:pPr>
      <w:r>
        <w:t xml:space="preserve">On January 14, 2010, the parties lodged Stipulations Re Facts and Conclusions of Law   in both matters (collectively, Stipulation).  The Stipulation sets forth the factual findings, legal conclusions and mitigating and aggravating circumstances in this matter. </w:t>
      </w:r>
    </w:p>
    <w:p>
      <w:pPr>
        <w:spacing w:line="480" w:lineRule="auto"/>
        <w:ind w:firstLine="720"/>
      </w:pPr>
      <w:r>
        <w:t>Following briefing by the parties, 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respondent executed the Contract and Waiver for Participation in the State Bar Court’s ADP; the court executed a Confidential Statement of Alternative Dispositions and Orders (Confidential Statement) formally advising the parties in writing of the alternative discipline recommendations in this matter; the court accepted respondent for participation in the ADP; and respondent’s period of participation in the ADP began on January 14, 2010.</w:t>
      </w:r>
    </w:p>
    <w:p>
      <w:pPr>
        <w:spacing w:line="480" w:lineRule="auto"/>
      </w:pPr>
      <w:r>
        <w:tab/>
        <w:t xml:space="preserve">Respondent thereafter participated in both the LAP and the State Bar Court’s ADP.  However, respondent was terminated from the LAP on August 25, 2011, because of noncompliance with LAP’s recommendation that he enroll either in an inpatient treatment program or residential multidisciplinary assessment or else be terminated from LAP. </w:t>
      </w:r>
    </w:p>
    <w:p>
      <w:pPr>
        <w:spacing w:line="480" w:lineRule="auto"/>
        <w:ind w:firstLine="720"/>
      </w:pPr>
      <w:r>
        <w:t>The court filed an order on September 12, 2011, terminating respondent from the ADP due to noncompliance with the conditions of ADP as set forth above.  On October 13, 2011, the court denied respondent’s motion for reconsideration of its September 12, 2011 order.</w:t>
      </w:r>
    </w:p>
    <w:p>
      <w:pPr>
        <w:spacing w:line="480" w:lineRule="auto"/>
        <w:jc w:val="center"/>
        <w:rPr>
          <w:b/>
        </w:rPr>
      </w:pPr>
      <w:r>
        <w:rPr>
          <w:b/>
        </w:rPr>
        <w:t>FINDINGS OF FACT AND CONCLUSIONS OF LAW</w:t>
      </w:r>
    </w:p>
    <w:p>
      <w:pPr>
        <w:pStyle w:val="Header"/>
        <w:tabs>
          <w:tab w:val="clear" w:pos="4320"/>
          <w:tab w:val="clear" w:pos="8640"/>
        </w:tabs>
        <w:spacing w:line="480" w:lineRule="auto"/>
        <w:ind w:firstLine="720"/>
      </w:pPr>
      <w:r>
        <w:t xml:space="preserve">The parties’ Stipulation, including the court’s order approving the Stipulation, is attached hereto and hereby incorporated by reference, as if fully set forth herein.  </w:t>
      </w:r>
    </w:p>
    <w:p>
      <w:pPr>
        <w:pStyle w:val="Header"/>
        <w:tabs>
          <w:tab w:val="clear" w:pos="4320"/>
          <w:tab w:val="clear" w:pos="8640"/>
        </w:tabs>
        <w:spacing w:line="480" w:lineRule="auto"/>
        <w:ind w:firstLine="720"/>
      </w:pPr>
      <w:r>
        <w:t>In the matters addressed in this proceeding, the parties agreed and court finds that respondent’s convictions for violations of Vehicle Code sections 23152(a) and 23223(a) are misdemeanors that do not involve moral turpitude, but do involve other misconduct warranting discipline pursuant to Business and Professions Code, sections 6101 and 6102, in wilful violation of section 6068(a).  They also agreed and the court finds that respondent did not comply with the conditions of a public reproval in wilful violation of rule 1-110, Rules of Professional Conduct.</w:t>
      </w:r>
    </w:p>
    <w:p>
      <w:pPr>
        <w:pStyle w:val="Header"/>
        <w:tabs>
          <w:tab w:val="clear" w:pos="4320"/>
          <w:tab w:val="clear" w:pos="8640"/>
        </w:tabs>
        <w:spacing w:line="480" w:lineRule="auto"/>
        <w:ind w:firstLine="720"/>
      </w:pPr>
      <w:r>
        <w:t>In aggravation, the parties stipulated that respondent had one prior disciplinary record.  (Rules Proc. of State Bar, tit. IV, Stds. for Atty. Sanctions for Prof. Misconduct, std. 1.2(b)(i).)</w:t>
      </w:r>
      <w:r>
        <w:rPr>
          <w:rStyle w:val="FootnoteReference"/>
        </w:rPr>
        <w:footnoteReference w:id="2"/>
      </w:r>
    </w:p>
    <w:p>
      <w:pPr>
        <w:pStyle w:val="Header"/>
        <w:tabs>
          <w:tab w:val="clear" w:pos="4320"/>
          <w:tab w:val="clear" w:pos="8640"/>
        </w:tabs>
        <w:spacing w:line="480" w:lineRule="auto"/>
        <w:ind w:firstLine="720"/>
      </w:pPr>
      <w:r>
        <w:t xml:space="preserve">In mitigation, the parties agreed that respondent was candid and cooperative and that he had family problems.  As respondent did not successfully complete the ADP, he will not receive mitigating credit for his period of participation in either the ADP or the LAP.        </w:t>
      </w:r>
    </w:p>
    <w:p>
      <w:pPr>
        <w:pStyle w:val="Header"/>
        <w:tabs>
          <w:tab w:val="clear" w:pos="4320"/>
          <w:tab w:val="clear" w:pos="8640"/>
        </w:tabs>
        <w:spacing w:line="480" w:lineRule="auto"/>
        <w:jc w:val="center"/>
        <w:rPr>
          <w:b/>
        </w:rPr>
      </w:pPr>
      <w:r>
        <w:rPr>
          <w:b/>
        </w:rPr>
        <w:t>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ind w:firstLine="720"/>
      </w:pPr>
      <w:r>
        <w:t>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1.2, 1.3, 1.4, 1.5, 1.6, 1.7, 2.9, 3.2 and 3.4 and</w:t>
      </w:r>
      <w:r>
        <w:rPr>
          <w:i/>
        </w:rPr>
        <w:t xml:space="preserve"> In re Silverton</w:t>
      </w:r>
      <w:r>
        <w:t xml:space="preserve"> (2005) 36 Cal.4th 81; </w:t>
      </w:r>
      <w:r>
        <w:rPr>
          <w:i/>
        </w:rPr>
        <w:t>In re Morse</w:t>
      </w:r>
      <w:r>
        <w:t xml:space="preserve"> (1995) 11 Cal.4th 184; </w:t>
      </w:r>
      <w:r>
        <w:rPr>
          <w:i/>
        </w:rPr>
        <w:t>In re Kelley</w:t>
      </w:r>
      <w:r>
        <w:t xml:space="preserve"> (1990) 52 Cal.3d 487; </w:t>
      </w:r>
      <w:r>
        <w:rPr>
          <w:i/>
        </w:rPr>
        <w:t>Morgan v. State Bar</w:t>
      </w:r>
      <w:r>
        <w:t xml:space="preserve"> (1990) 51 Cal.3d 598; </w:t>
      </w:r>
      <w:r>
        <w:rPr>
          <w:i/>
        </w:rPr>
        <w:t>People v. Watson</w:t>
      </w:r>
      <w:r>
        <w:t xml:space="preserve"> (1981) 30 Cal.3d 290;  </w:t>
      </w:r>
      <w:r>
        <w:rPr>
          <w:i/>
        </w:rPr>
        <w:t>In the Matter of Stewart</w:t>
      </w:r>
      <w:r>
        <w:t xml:space="preserve"> (Review Dept. 1994) 3 Cal. State Bar Ct. Rptr. 52;  </w:t>
      </w:r>
      <w:r>
        <w:rPr>
          <w:i/>
        </w:rPr>
        <w:t>In the Matter of Anderson</w:t>
      </w:r>
      <w:r>
        <w:t xml:space="preserve"> (Review Dept. 1992) 2 Cal. State Bar Ct. Rptr. 208; </w:t>
      </w:r>
      <w:r>
        <w:rPr>
          <w:i/>
        </w:rPr>
        <w:t xml:space="preserve">In the Matter of </w:t>
      </w:r>
      <w:r>
        <w:t xml:space="preserve">Carr (Review Dept. 1992) 2 Cal. State Bar Ct. Rptr. 108; Business and Professions Code sections 6068, 6101 and 6102; and rule 1-110(A), Rules of Professional Conduct. </w:t>
      </w:r>
    </w:p>
    <w:p>
      <w:pPr>
        <w:pStyle w:val="Header"/>
        <w:tabs>
          <w:tab w:val="clear" w:pos="4320"/>
          <w:tab w:val="clear" w:pos="8640"/>
        </w:tabs>
        <w:spacing w:line="480" w:lineRule="auto"/>
        <w:ind w:firstLine="720"/>
        <w:rPr>
          <w:b/>
        </w:rPr>
      </w:pPr>
      <w:r>
        <w:t xml:space="preserve"> Because respondent has now been terminated from the ADP, this court, in turn, now recommends to the Supreme Court the imposition of the higher level of discipline, set forth more fully below.</w:t>
      </w:r>
      <w:r>
        <w:rPr>
          <w:b/>
        </w:rPr>
        <w:t xml:space="preserve"> </w:t>
      </w:r>
    </w:p>
    <w:p>
      <w:pPr>
        <w:pStyle w:val="Header"/>
        <w:tabs>
          <w:tab w:val="clear" w:pos="4320"/>
          <w:tab w:val="clear" w:pos="8640"/>
        </w:tabs>
        <w:spacing w:line="480" w:lineRule="auto"/>
        <w:jc w:val="center"/>
        <w:rPr>
          <w:b/>
        </w:rPr>
      </w:pPr>
      <w:r>
        <w:rPr>
          <w:b/>
        </w:rPr>
        <w:t>DISCIPLINE</w:t>
      </w:r>
    </w:p>
    <w:p>
      <w:pPr>
        <w:pStyle w:val="Header"/>
        <w:tabs>
          <w:tab w:val="clear" w:pos="4320"/>
          <w:tab w:val="clear" w:pos="8640"/>
        </w:tabs>
        <w:spacing w:line="480" w:lineRule="auto"/>
        <w:rPr>
          <w:b/>
        </w:rPr>
      </w:pPr>
      <w:r>
        <w:rPr>
          <w:b/>
        </w:rPr>
        <w:t>Recommended Discipline</w:t>
      </w:r>
    </w:p>
    <w:p>
      <w:pPr>
        <w:pStyle w:val="Header"/>
        <w:tabs>
          <w:tab w:val="clear" w:pos="4320"/>
          <w:tab w:val="clear" w:pos="8640"/>
        </w:tabs>
        <w:spacing w:line="480" w:lineRule="auto"/>
        <w:ind w:firstLine="720"/>
      </w:pPr>
      <w:r>
        <w:t>It is hereby recommended that respondent Michael Patrick Ridley, State Bar Number 54409, be suspended from the practice of law in California for three years, that execution of that period of suspension be stayed, and that he be placed on probation</w:t>
      </w:r>
      <w:r>
        <w:rPr>
          <w:rStyle w:val="FootnoteReference"/>
        </w:rPr>
        <w:footnoteReference w:id="3"/>
      </w:r>
      <w:r>
        <w:t xml:space="preserve"> for a period of four years subject to the following conditions:</w:t>
      </w:r>
    </w:p>
    <w:p>
      <w:pPr>
        <w:pStyle w:val="Header"/>
        <w:tabs>
          <w:tab w:val="clear" w:pos="4320"/>
          <w:tab w:val="clear" w:pos="8640"/>
        </w:tabs>
        <w:spacing w:line="480" w:lineRule="auto"/>
        <w:ind w:firstLine="720"/>
      </w:pPr>
      <w:r>
        <w:t>1.</w:t>
      </w:r>
      <w:r>
        <w:tab/>
        <w:t xml:space="preserve">Respondent Michael Patrick Ridley is suspended from the practice of law for six months;     </w:t>
      </w:r>
    </w:p>
    <w:p>
      <w:pPr>
        <w:pStyle w:val="Header"/>
        <w:tabs>
          <w:tab w:val="clear" w:pos="4320"/>
          <w:tab w:val="clear" w:pos="8640"/>
        </w:tabs>
        <w:spacing w:line="480" w:lineRule="auto"/>
        <w:ind w:firstLine="720"/>
      </w:pPr>
      <w:r>
        <w:t>2.</w:t>
      </w:r>
      <w:r>
        <w:tab/>
        <w:t>Respondent Michael Patrick Ridley must also comply with the following additional conditions of probation:</w:t>
      </w:r>
    </w:p>
    <w:p>
      <w:pPr>
        <w:pStyle w:val="Header"/>
        <w:tabs>
          <w:tab w:val="clear" w:pos="4320"/>
          <w:tab w:val="clear" w:pos="8640"/>
        </w:tabs>
        <w:ind w:firstLine="720"/>
      </w:pPr>
    </w:p>
    <w:p>
      <w:pPr>
        <w:pStyle w:val="Header"/>
        <w:tabs>
          <w:tab w:val="clear" w:pos="4320"/>
          <w:tab w:val="clear" w:pos="8640"/>
        </w:tabs>
        <w:ind w:firstLine="720"/>
      </w:pPr>
      <w:r>
        <w:tab/>
        <w:t>a</w:t>
      </w:r>
      <w:r>
        <w:rPr>
          <w:b/>
        </w:rPr>
        <w:t>.</w:t>
      </w:r>
      <w:r>
        <w:rPr>
          <w:b/>
        </w:rPr>
        <w:tab/>
      </w:r>
      <w:r>
        <w:t xml:space="preserve">During the probation period, respondent must comply with the provisions </w:t>
      </w:r>
      <w:r>
        <w:tab/>
      </w:r>
      <w:r>
        <w:tab/>
      </w:r>
      <w:r>
        <w:tab/>
      </w:r>
      <w:r>
        <w:tab/>
        <w:t xml:space="preserve">of the State Bar Act and the Rules of Professional Conduct of the State </w:t>
      </w:r>
      <w:r>
        <w:tab/>
      </w:r>
      <w:r>
        <w:tab/>
      </w:r>
      <w:r>
        <w:tab/>
      </w:r>
      <w:r>
        <w:tab/>
        <w:t xml:space="preserve">Bar of California;  </w:t>
      </w:r>
      <w:r>
        <w:tab/>
      </w:r>
    </w:p>
    <w:p>
      <w:pPr>
        <w:pStyle w:val="Header"/>
        <w:tabs>
          <w:tab w:val="clear" w:pos="4320"/>
          <w:tab w:val="clear" w:pos="8640"/>
        </w:tabs>
        <w:ind w:firstLine="720"/>
      </w:pPr>
    </w:p>
    <w:p>
      <w:pPr>
        <w:pStyle w:val="Header"/>
        <w:tabs>
          <w:tab w:val="clear" w:pos="4320"/>
          <w:tab w:val="clear" w:pos="8640"/>
        </w:tabs>
        <w:ind w:left="2160" w:hanging="720"/>
      </w:pPr>
      <w:r>
        <w:t>b.</w:t>
      </w:r>
      <w:r>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pStyle w:val="Header"/>
        <w:tabs>
          <w:tab w:val="clear" w:pos="4320"/>
          <w:tab w:val="clear" w:pos="8640"/>
        </w:tabs>
        <w:ind w:left="2160" w:hanging="720"/>
        <w:rPr>
          <w:b/>
        </w:rPr>
      </w:pPr>
    </w:p>
    <w:p>
      <w:pPr>
        <w:pStyle w:val="Header"/>
        <w:tabs>
          <w:tab w:val="clear" w:pos="4320"/>
          <w:tab w:val="clear" w:pos="8640"/>
        </w:tabs>
        <w:ind w:left="2160" w:hanging="720"/>
      </w:pPr>
      <w:r>
        <w:t>c.</w:t>
      </w:r>
      <w:r>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Header"/>
        <w:tabs>
          <w:tab w:val="clear" w:pos="4320"/>
          <w:tab w:val="clear" w:pos="8640"/>
        </w:tabs>
        <w:ind w:left="2160" w:hanging="720"/>
        <w:rPr>
          <w:b/>
        </w:rPr>
      </w:pPr>
    </w:p>
    <w:p>
      <w:pPr>
        <w:pStyle w:val="Header"/>
        <w:tabs>
          <w:tab w:val="clear" w:pos="4320"/>
          <w:tab w:val="clear" w:pos="8640"/>
        </w:tabs>
        <w:ind w:left="2160" w:hanging="720"/>
      </w:pPr>
      <w:r>
        <w:t>d.</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pPr>
        <w:pStyle w:val="Header"/>
        <w:tabs>
          <w:tab w:val="clear" w:pos="4320"/>
          <w:tab w:val="clear" w:pos="8640"/>
        </w:tabs>
        <w:ind w:left="2160" w:hanging="720"/>
      </w:pPr>
    </w:p>
    <w:p>
      <w:pPr>
        <w:pStyle w:val="Header"/>
        <w:tabs>
          <w:tab w:val="clear" w:pos="4320"/>
          <w:tab w:val="clear" w:pos="8640"/>
        </w:tabs>
        <w:ind w:left="2160" w:hanging="720"/>
      </w:pPr>
      <w:r>
        <w:tab/>
        <w:t>In addition to all quarterly reports, a final report, containing the same information, is due no earlier than twenty (20) days before the last day of the period of probation and no later than the last day of the probation period;</w:t>
      </w:r>
    </w:p>
    <w:p>
      <w:pPr>
        <w:pStyle w:val="Header"/>
        <w:tabs>
          <w:tab w:val="clear" w:pos="4320"/>
          <w:tab w:val="clear" w:pos="8640"/>
        </w:tabs>
        <w:ind w:left="2160" w:hanging="720"/>
        <w:rPr>
          <w:b/>
        </w:rPr>
      </w:pPr>
    </w:p>
    <w:p>
      <w:pPr>
        <w:pStyle w:val="Header"/>
        <w:tabs>
          <w:tab w:val="clear" w:pos="4320"/>
          <w:tab w:val="clear" w:pos="8640"/>
        </w:tabs>
        <w:ind w:left="2160" w:hanging="720"/>
      </w:pPr>
      <w:r>
        <w:t>e.</w:t>
      </w:r>
      <w:r>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Header"/>
        <w:tabs>
          <w:tab w:val="clear" w:pos="4320"/>
          <w:tab w:val="clear" w:pos="8640"/>
        </w:tabs>
        <w:ind w:left="2160" w:hanging="720"/>
        <w:rPr>
          <w:b/>
        </w:rPr>
      </w:pPr>
    </w:p>
    <w:p>
      <w:pPr>
        <w:pStyle w:val="Header"/>
        <w:tabs>
          <w:tab w:val="clear" w:pos="4320"/>
          <w:tab w:val="clear" w:pos="8640"/>
        </w:tabs>
        <w:ind w:left="2160" w:hanging="720"/>
      </w:pPr>
      <w:r>
        <w:t>f.</w:t>
      </w:r>
      <w:r>
        <w:tab/>
        <w:t xml:space="preserve">Within one (1) year of the effective date of the discipline herein, respondent must provide to the Office of Probation satisfactory proof of attendance at a session of the Ethics School, and passage of the test given at the end of that session; </w:t>
      </w:r>
    </w:p>
    <w:p>
      <w:pPr>
        <w:pStyle w:val="Header"/>
        <w:tabs>
          <w:tab w:val="clear" w:pos="4320"/>
          <w:tab w:val="clear" w:pos="8640"/>
        </w:tabs>
        <w:ind w:left="2160" w:hanging="720"/>
      </w:pPr>
    </w:p>
    <w:p>
      <w:pPr>
        <w:pStyle w:val="Header"/>
        <w:tabs>
          <w:tab w:val="clear" w:pos="4320"/>
          <w:tab w:val="clear" w:pos="8640"/>
        </w:tabs>
        <w:ind w:left="2160" w:hanging="720"/>
      </w:pPr>
      <w:r>
        <w:t>g.</w:t>
      </w:r>
      <w:r>
        <w:tab/>
        <w:t>Respondent must comply with all conditions of probation imposed in the underlying criminal matters and must so declare under penalty of perjury in conjunction with any quarterly report to be filed with the Office of Probation; and</w:t>
      </w:r>
    </w:p>
    <w:p>
      <w:pPr>
        <w:pStyle w:val="Header"/>
        <w:tabs>
          <w:tab w:val="clear" w:pos="4320"/>
          <w:tab w:val="clear" w:pos="8640"/>
        </w:tabs>
        <w:ind w:left="2160" w:hanging="720"/>
        <w:rPr>
          <w:b/>
        </w:rPr>
      </w:pPr>
    </w:p>
    <w:p>
      <w:pPr>
        <w:pStyle w:val="Header"/>
        <w:tabs>
          <w:tab w:val="clear" w:pos="4320"/>
          <w:tab w:val="clear" w:pos="8640"/>
        </w:tabs>
        <w:ind w:left="2160" w:hanging="720"/>
      </w:pPr>
      <w:r>
        <w:t>h.</w:t>
      </w:r>
      <w:r>
        <w:tab/>
        <w:t xml:space="preserve">Respondent must obtain an examination of his mental and physical condition with respect to his substance abuse issue pursuant to rule 5.68 of the Rules of Procedure of the State Bar of California from a qualified practitioner approved by the Office of Probation and must comply with any treatment/monitoring plan recommended following such examination.  The examination and any further help/treatment/monitoring recommended by the examining practitioner will be at respondent’s own expense.  The examination must be conducted no later than thirty (30) days after the effective date of the Supreme Court’s final disciplinary order in this matter.  Help/treatment/monitoring should commence immediately after said examination and, in any event, no later than thirty (30) days after said examination.  With each quarterly report, respondent must furnish to the Office of Probation sufficient evidence, as specified by the Office of Probation, that he is so complying with this condition of probation.  Treatment/monitoring must continue for the period of probation or until a motion to modify this condition is granted and that ruling becomes final.      </w:t>
      </w:r>
    </w:p>
    <w:p>
      <w:pPr>
        <w:pStyle w:val="Header"/>
        <w:tabs>
          <w:tab w:val="clear" w:pos="4320"/>
          <w:tab w:val="clear" w:pos="8640"/>
        </w:tabs>
        <w:ind w:left="2160" w:hanging="720"/>
      </w:pPr>
    </w:p>
    <w:p>
      <w:pPr>
        <w:pStyle w:val="Header"/>
        <w:tabs>
          <w:tab w:val="clear" w:pos="4320"/>
          <w:tab w:val="clear" w:pos="8640"/>
        </w:tabs>
        <w:ind w:left="2160" w:hanging="720"/>
      </w:pPr>
      <w:r>
        <w:tab/>
        <w:t>If the examining or treating practitioner determines that there has been a substantial change in respondent’s condition, respondent or the State Bar’s Office of Probation or the Office of the Chief Trial Counsel may file a motion for modification of this condition with the Hearing Department of the State Bar Court, pursuant to rule 5.300 of the Rules of Procedure.  The motion must be supported by a written statement from the examining or treating practitioner, by affidavit or under penalty of perjury, in support of the proposed modification.</w:t>
      </w:r>
    </w:p>
    <w:p>
      <w:pPr>
        <w:pStyle w:val="Header"/>
        <w:tabs>
          <w:tab w:val="clear" w:pos="4320"/>
          <w:tab w:val="clear" w:pos="8640"/>
        </w:tabs>
        <w:ind w:left="2160" w:hanging="720"/>
      </w:pPr>
    </w:p>
    <w:p>
      <w:pPr>
        <w:pStyle w:val="Header"/>
        <w:tabs>
          <w:tab w:val="clear" w:pos="4320"/>
          <w:tab w:val="clear" w:pos="8640"/>
        </w:tabs>
        <w:ind w:left="2160" w:hanging="720"/>
      </w:pPr>
      <w:r>
        <w:tab/>
        <w:t xml:space="preserve">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violation of this condition.  Any medical records obtained by the Office of Probation will be confidential and no information concerning them or their contents will be given to anyone except members of the Office of the Chief Trial Counsel, the Office of Probation, and the State Bar Court, who are directly involved with maintaining, enforcing or adjudicating this condition.     </w:t>
      </w:r>
    </w:p>
    <w:p>
      <w:pPr>
        <w:pStyle w:val="Header"/>
        <w:tabs>
          <w:tab w:val="clear" w:pos="4320"/>
          <w:tab w:val="clear" w:pos="8640"/>
        </w:tabs>
        <w:ind w:left="2160" w:hanging="720"/>
      </w:pPr>
    </w:p>
    <w:p>
      <w:pPr>
        <w:pStyle w:val="Header"/>
        <w:tabs>
          <w:tab w:val="clear" w:pos="4320"/>
          <w:tab w:val="clear" w:pos="8640"/>
        </w:tabs>
        <w:spacing w:line="480" w:lineRule="auto"/>
        <w:ind w:firstLine="720"/>
      </w:pPr>
      <w:r>
        <w:t xml:space="preserve">At the expiration of the period of probation, if Michael Patrick Ridley has complied with all conditions of probation, the three-year period of stayed suspension will be satisfied and that suspension will be terminated.   </w:t>
      </w: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ind w:firstLine="720"/>
      </w:pPr>
      <w:r>
        <w:t xml:space="preserve">It is further recommended that Michael Patrick Ridley be ordered to take and pass the Multistate Professional Responsibility Examination (MPRE) within one year of the effective date of the Supreme Court’s disciplinary order in this matter and to provide satisfactory proof of such passage to the State Bar’s Office of Probation in Los Angeles within the same period.  Failure to do so may result in an automatic suspension.  (Cal. Rules of Court, rule 9.10(b).)  </w:t>
      </w:r>
    </w:p>
    <w:p>
      <w:pPr>
        <w:pStyle w:val="Header"/>
        <w:tabs>
          <w:tab w:val="clear" w:pos="4320"/>
          <w:tab w:val="clear" w:pos="8640"/>
        </w:tabs>
        <w:spacing w:line="480" w:lineRule="auto"/>
        <w:rPr>
          <w:b/>
        </w:rPr>
      </w:pPr>
      <w:r>
        <w:rPr>
          <w:b/>
        </w:rPr>
        <w:t>Rule 9.20, California Rules of Court</w:t>
      </w:r>
    </w:p>
    <w:p>
      <w:pPr>
        <w:spacing w:line="480" w:lineRule="auto"/>
        <w:ind w:firstLine="720"/>
      </w:pPr>
      <w:r>
        <w:t>It is also recommended that respondent be ordered to comply with the requirements of rule 9.20 of the California Rules of Court (rule 9.20) within 30 calendar days of the effective date of the Supreme Court order in this matter, and file the affidavit provided for in paragraph (c) within 40 days of the effective date of the order showing his compliance with said order.</w:t>
      </w:r>
      <w:r>
        <w:rPr>
          <w:rStyle w:val="FootnoteReference"/>
        </w:rPr>
        <w:footnoteReference w:id="4"/>
      </w:r>
    </w:p>
    <w:p>
      <w:pPr>
        <w:pStyle w:val="Header"/>
        <w:tabs>
          <w:tab w:val="clear" w:pos="4320"/>
          <w:tab w:val="clear" w:pos="8640"/>
        </w:tabs>
        <w:spacing w:line="480" w:lineRule="auto"/>
        <w:rPr>
          <w:b/>
        </w:rPr>
      </w:pPr>
    </w:p>
    <w:p>
      <w:pPr>
        <w:pStyle w:val="Header"/>
        <w:tabs>
          <w:tab w:val="clear" w:pos="4320"/>
          <w:tab w:val="clear" w:pos="8640"/>
        </w:tabs>
        <w:spacing w:line="480" w:lineRule="auto"/>
        <w:rPr>
          <w:b/>
        </w:rPr>
      </w:pPr>
    </w:p>
    <w:p>
      <w:pPr>
        <w:pStyle w:val="Header"/>
        <w:tabs>
          <w:tab w:val="clear" w:pos="4320"/>
          <w:tab w:val="clear" w:pos="8640"/>
        </w:tabs>
        <w:spacing w:line="480" w:lineRule="auto"/>
        <w:rPr>
          <w:b/>
        </w:rPr>
      </w:pP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rPr>
          <w:b/>
        </w:rPr>
      </w:pPr>
      <w:r>
        <w:t xml:space="preserve">It is recommended that costs be awarded to the State Bar in accordance with Business and Professions Code section 6086.10, and are enforceable both as provided in Business and Professions Code section 6140.7 and as a money judgment. </w:t>
      </w:r>
      <w:r>
        <w:rPr>
          <w:b/>
        </w:rPr>
        <w:t xml:space="preserve"> </w:t>
      </w:r>
    </w:p>
    <w:p>
      <w:pPr>
        <w:pStyle w:val="Header"/>
        <w:tabs>
          <w:tab w:val="clear" w:pos="4320"/>
          <w:tab w:val="clear" w:pos="8640"/>
        </w:tabs>
        <w:spacing w:line="480" w:lineRule="auto"/>
        <w:jc w:val="center"/>
        <w:rPr>
          <w:b/>
        </w:rPr>
      </w:pPr>
      <w:r>
        <w:rPr>
          <w:b/>
        </w:rPr>
        <w:t>DIRECTION RE DECISION AND ORDER SEALING CERTAIN DOCUMENTS</w:t>
      </w:r>
    </w:p>
    <w:p>
      <w:pPr>
        <w:pStyle w:val="Header"/>
        <w:tabs>
          <w:tab w:val="clear" w:pos="4320"/>
          <w:tab w:val="clear" w:pos="8640"/>
        </w:tabs>
        <w:spacing w:line="480" w:lineRule="auto"/>
        <w:ind w:firstLine="720"/>
      </w:pPr>
      <w:r>
        <w:t>The court directs a court case administrator to file this Decision and Order Sealing Certain Documents; Order Re Termination of Involuntary Inactive Enrollment.  Thereafter, pursuant to rule 5.388(C) of the Rules of Procedure of the State Bar of California (Rules of Procedure), all other documents not previously filed in this matter are ordered sealed pursuant to rule 5.12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w:t>
      </w:r>
    </w:p>
    <w:p>
      <w:pPr>
        <w:pStyle w:val="Header"/>
        <w:tabs>
          <w:tab w:val="clear" w:pos="4320"/>
          <w:tab w:val="clear" w:pos="8640"/>
        </w:tabs>
        <w:spacing w:line="480" w:lineRule="auto"/>
      </w:pPr>
      <w:r>
        <w:t xml:space="preserve">(1)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pPr>
        <w:pStyle w:val="Header"/>
        <w:tabs>
          <w:tab w:val="clear" w:pos="4320"/>
          <w:tab w:val="clear" w:pos="8640"/>
        </w:tabs>
        <w:spacing w:line="480" w:lineRule="auto"/>
        <w:ind w:firstLine="720"/>
      </w:pPr>
      <w:r>
        <w:rPr>
          <w:b/>
        </w:rPr>
        <w:t>IT IS SO ORDERED.</w:t>
      </w:r>
      <w:r>
        <w:t xml:space="preserve"> </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October 24, 2011.</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ADP was formerly known as the (Pilot) Program for Respondents with Substance Abuse or Mental Health Issues.   </w:t>
      </w:r>
    </w:p>
  </w:footnote>
  <w:footnote w:id="2">
    <w:p>
      <w:pPr>
        <w:pStyle w:val="FootnoteText"/>
      </w:pPr>
      <w:r>
        <w:rPr>
          <w:rStyle w:val="FootnoteReference"/>
        </w:rPr>
        <w:footnoteRef/>
      </w:r>
      <w:r>
        <w:t xml:space="preserve"> All further references to standard(s) or std. are to this source.        </w:t>
      </w:r>
    </w:p>
  </w:footnote>
  <w:footnote w:id="3">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4">
    <w:p>
      <w:pPr>
        <w:spacing w:line="470" w:lineRule="exact"/>
        <w:ind w:firstLine="720"/>
      </w:pPr>
      <w:r>
        <w:t xml:space="preserve">     </w:t>
      </w:r>
      <w:r>
        <w:rPr>
          <w:rStyle w:val="FootnoteReference"/>
        </w:rPr>
        <w:footnoteRef/>
      </w:r>
      <w:r>
        <w:t>Failure to comply with former rule 955 (now rule 9.20) could result in disbarment.  (</w:t>
      </w:r>
      <w:r>
        <w:rPr>
          <w:i/>
          <w:iCs/>
        </w:rPr>
        <w:t>Bercovich v. State Bar</w:t>
      </w:r>
      <w:r>
        <w:t xml:space="preserve"> (1990) 50 Cal.3d 116, 131.)  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mpvLmkdOJRanQGffQcWPjiPSwlM=" w:salt="kHD7h7vb18m6vXSJ3qhwTQ=="/>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2280</Words>
  <Characters>12221</Characters>
  <Application>Microsoft Office Word</Application>
  <DocSecurity>0</DocSecurity>
  <Lines>254</Lines>
  <Paragraphs>85</Paragraphs>
  <ScaleCrop>false</ScaleCrop>
  <Company>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2011-10-25T21:59:00Z</dcterms:created>
  <dcterms:modified xsi:type="dcterms:W3CDTF">2011-10-25T21:59:00Z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